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113" w:after="113"/>
        <w:ind w:left="0" w:right="0"/>
        <w:jc w:val="center"/>
        <w:rPr>
          <w:lang w:val="pt-BR"/>
        </w:rPr>
      </w:pPr>
      <w:r>
        <w:rPr>
          <w:rFonts w:cs="Arial" w:ascii="Verdana" w:hAnsi="Verdana"/>
          <w:b/>
          <w:bCs/>
          <w:color w:val="000000"/>
          <w:sz w:val="20"/>
          <w:szCs w:val="20"/>
          <w:lang w:val="pt-BR"/>
        </w:rPr>
        <w:t>TERMO DE REFERÊNCIA – LEI 14.133/21</w:t>
      </w:r>
    </w:p>
    <w:p>
      <w:pPr>
        <w:pStyle w:val="Normal"/>
        <w:spacing w:lineRule="auto" w:line="276" w:before="0" w:after="0"/>
        <w:ind w:left="0" w:right="0"/>
        <w:jc w:val="center"/>
        <w:rPr>
          <w:rFonts w:ascii="Verdana" w:hAnsi="Verdana"/>
          <w:sz w:val="20"/>
          <w:szCs w:val="20"/>
          <w:lang w:val="pt-BR"/>
        </w:rPr>
      </w:pPr>
      <w:r>
        <w:rPr>
          <w:rFonts w:ascii="Verdana" w:hAnsi="Verdana"/>
          <w:sz w:val="20"/>
          <w:szCs w:val="20"/>
          <w:lang w:val="pt-BR"/>
        </w:rPr>
      </w:r>
    </w:p>
    <w:p>
      <w:pPr>
        <w:pStyle w:val="Normal"/>
        <w:spacing w:lineRule="auto" w:line="276" w:before="113" w:after="113"/>
        <w:ind w:left="0" w:right="0"/>
        <w:jc w:val="center"/>
        <w:rPr>
          <w:lang w:val="pt-BR"/>
        </w:rPr>
      </w:pPr>
      <w:r>
        <w:rPr>
          <w:rFonts w:ascii="Verdana" w:hAnsi="Verdana"/>
          <w:b/>
          <w:bCs/>
          <w:iCs/>
          <w:color w:val="000000"/>
          <w:sz w:val="20"/>
          <w:szCs w:val="20"/>
          <w:lang w:val="pt-BR"/>
        </w:rPr>
        <w:t xml:space="preserve"> </w:t>
      </w:r>
      <w:r>
        <w:rPr>
          <w:rFonts w:ascii="Verdana" w:hAnsi="Verdana"/>
          <w:b/>
          <w:bCs/>
          <w:iCs/>
          <w:color w:val="000000"/>
          <w:sz w:val="20"/>
          <w:szCs w:val="20"/>
          <w:lang w:val="pt-BR"/>
        </w:rPr>
        <w:t>REGISTRO DE PREÇOS DE ALIMENTOS PARA O ABRIGO LUZ</w:t>
      </w:r>
    </w:p>
    <w:p>
      <w:pPr>
        <w:pStyle w:val="Normal"/>
        <w:spacing w:lineRule="auto" w:line="276" w:before="113" w:after="113"/>
        <w:ind w:left="0" w:right="0"/>
        <w:jc w:val="center"/>
        <w:rPr>
          <w:rFonts w:ascii="Verdana" w:hAnsi="Verdana"/>
          <w:i w:val="false"/>
          <w:i w:val="false"/>
          <w:iCs w:val="false"/>
          <w:sz w:val="20"/>
          <w:szCs w:val="20"/>
          <w:lang w:val="pt-BR"/>
        </w:rPr>
      </w:pPr>
      <w:r>
        <w:rPr>
          <w:rFonts w:ascii="Verdana" w:hAnsi="Verdana"/>
          <w:i w:val="false"/>
          <w:iCs w:val="false"/>
          <w:sz w:val="20"/>
          <w:szCs w:val="20"/>
          <w:lang w:val="pt-BR"/>
        </w:rPr>
      </w:r>
    </w:p>
    <w:p>
      <w:pPr>
        <w:pStyle w:val="Normal"/>
        <w:spacing w:lineRule="auto" w:line="276" w:before="113" w:after="113"/>
        <w:ind w:left="0" w:right="0"/>
        <w:jc w:val="center"/>
        <w:rPr>
          <w:lang w:val="pt-BR"/>
        </w:rPr>
      </w:pPr>
      <w:r>
        <w:rPr>
          <w:rFonts w:cs="Arial" w:ascii="Verdana" w:hAnsi="Verdana"/>
          <w:b/>
          <w:bCs/>
          <w:i w:val="false"/>
          <w:iCs w:val="false"/>
          <w:color w:val="000000"/>
          <w:sz w:val="20"/>
          <w:szCs w:val="20"/>
          <w:lang w:val="pt-BR"/>
        </w:rPr>
        <w:t xml:space="preserve">Processo Administrativo nº </w:t>
      </w:r>
      <w:r>
        <w:rPr>
          <w:rFonts w:eastAsia="Times New Roman" w:cs="Times New Roman" w:ascii="Verdana" w:hAnsi="Verdana"/>
          <w:b/>
          <w:bCs/>
          <w:i w:val="false"/>
          <w:iCs w:val="false"/>
          <w:color w:val="000000"/>
          <w:sz w:val="20"/>
          <w:szCs w:val="20"/>
          <w:lang w:val="pt-BR"/>
        </w:rPr>
        <w:t>006828</w:t>
      </w:r>
      <w:r>
        <w:rPr>
          <w:rFonts w:cs="Arial" w:ascii="Verdana" w:hAnsi="Verdana"/>
          <w:b/>
          <w:bCs/>
          <w:i w:val="false"/>
          <w:iCs w:val="false"/>
          <w:color w:val="000000"/>
          <w:sz w:val="20"/>
          <w:szCs w:val="20"/>
          <w:lang w:val="pt-BR"/>
        </w:rPr>
        <w:t>/2024 de 13 de setembro de 2024 (Secretaria Municipal de Assistência, Desenvolvimento Social e Família)</w:t>
      </w:r>
    </w:p>
    <w:p>
      <w:pPr>
        <w:pStyle w:val="Normal"/>
        <w:spacing w:lineRule="auto" w:line="276" w:before="113" w:after="113"/>
        <w:ind w:left="0" w:right="0"/>
        <w:jc w:val="center"/>
        <w:rPr>
          <w:rFonts w:ascii="Verdana" w:hAnsi="Verdana" w:cs="Arial"/>
          <w:b/>
          <w:bCs/>
          <w:color w:val="000000"/>
          <w:sz w:val="20"/>
          <w:szCs w:val="20"/>
          <w:lang w:val="pt-BR"/>
        </w:rPr>
      </w:pPr>
      <w:r>
        <w:rPr>
          <w:rFonts w:cs="Arial" w:ascii="Verdana" w:hAnsi="Verdana"/>
          <w:b/>
          <w:bCs/>
          <w:color w:val="000000"/>
          <w:sz w:val="20"/>
          <w:szCs w:val="20"/>
          <w:lang w:val="pt-BR"/>
        </w:rPr>
      </w:r>
    </w:p>
    <w:p>
      <w:pPr>
        <w:pStyle w:val="Nivel1"/>
        <w:spacing w:lineRule="auto" w:line="276" w:before="113" w:after="113"/>
        <w:ind w:hanging="0" w:left="0" w:right="0"/>
        <w:rPr>
          <w:lang w:val="pt-BR"/>
        </w:rPr>
      </w:pPr>
      <w:r>
        <w:rPr>
          <w:rFonts w:cs="Times New Roman" w:ascii="Verdana" w:hAnsi="Verdana"/>
          <w:bCs/>
          <w:sz w:val="20"/>
          <w:szCs w:val="20"/>
          <w:lang w:val="pt-BR"/>
        </w:rPr>
        <w:t>1. DAS CONDIÇÕES GERAIS DA CONTRATAÇÃO</w:t>
      </w:r>
    </w:p>
    <w:p>
      <w:pPr>
        <w:pStyle w:val="ListParagraph"/>
        <w:tabs>
          <w:tab w:val="clear" w:pos="708"/>
          <w:tab w:val="left" w:pos="0" w:leader="none"/>
        </w:tabs>
        <w:suppressAutoHyphens w:val="false"/>
        <w:spacing w:lineRule="auto" w:line="276" w:before="113" w:after="113"/>
        <w:ind w:hanging="0" w:left="0" w:right="0"/>
        <w:contextualSpacing w:val="false"/>
        <w:jc w:val="both"/>
        <w:rPr>
          <w:lang w:val="pt-BR"/>
        </w:rPr>
      </w:pPr>
      <w:r>
        <w:rPr>
          <w:rFonts w:ascii="Verdana" w:hAnsi="Verdana"/>
          <w:b w:val="false"/>
          <w:bCs w:val="false"/>
          <w:iCs/>
          <w:sz w:val="20"/>
          <w:szCs w:val="20"/>
          <w:lang w:val="pt-BR"/>
        </w:rPr>
        <w:t>1.1 R</w:t>
      </w:r>
      <w:r>
        <w:rPr>
          <w:rFonts w:ascii="Verdana" w:hAnsi="Verdana"/>
          <w:iCs/>
          <w:sz w:val="20"/>
          <w:szCs w:val="20"/>
          <w:lang w:val="pt-BR"/>
        </w:rPr>
        <w:t>egistro de preços para a aquisição de alimentos para o Abrigo Luz, deste município, no sentido de atender as demandas das crianças acolhidas, em situação de vulnerabilidade social, rela</w:t>
      </w:r>
      <w:r>
        <w:rPr>
          <w:rFonts w:eastAsia="Times New Roman" w:cs="Times New Roman" w:ascii="Verdana" w:hAnsi="Verdana"/>
          <w:iCs/>
          <w:color w:val="000000"/>
          <w:sz w:val="20"/>
          <w:szCs w:val="20"/>
          <w:lang w:val="pt-BR"/>
        </w:rPr>
        <w:t xml:space="preserve">cionados e especificados constantes neste processo, no ETP e na Solicitação de Compras de Materiais anexo nos autos </w:t>
      </w:r>
    </w:p>
    <w:tbl>
      <w:tblPr>
        <w:tblW w:w="9524" w:type="dxa"/>
        <w:jc w:val="left"/>
        <w:tblInd w:w="93" w:type="dxa"/>
        <w:tblLayout w:type="fixed"/>
        <w:tblCellMar>
          <w:top w:w="55" w:type="dxa"/>
          <w:left w:w="55" w:type="dxa"/>
          <w:bottom w:w="55" w:type="dxa"/>
          <w:right w:w="55" w:type="dxa"/>
        </w:tblCellMar>
      </w:tblPr>
      <w:tblGrid>
        <w:gridCol w:w="794"/>
        <w:gridCol w:w="3916"/>
        <w:gridCol w:w="795"/>
        <w:gridCol w:w="1059"/>
        <w:gridCol w:w="1306"/>
        <w:gridCol w:w="1653"/>
      </w:tblGrid>
      <w:tr>
        <w:trPr/>
        <w:tc>
          <w:tcPr>
            <w:tcW w:w="794"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b/>
                <w:bCs/>
                <w:sz w:val="20"/>
                <w:szCs w:val="20"/>
                <w:lang w:val="pt-BR"/>
              </w:rPr>
              <w:t>Item</w:t>
            </w:r>
          </w:p>
        </w:tc>
        <w:tc>
          <w:tcPr>
            <w:tcW w:w="3916"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b/>
                <w:bCs/>
                <w:sz w:val="20"/>
                <w:szCs w:val="20"/>
                <w:lang w:val="pt-BR"/>
              </w:rPr>
              <w:t>Descrição</w:t>
            </w:r>
          </w:p>
        </w:tc>
        <w:tc>
          <w:tcPr>
            <w:tcW w:w="795"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b/>
                <w:bCs/>
                <w:sz w:val="20"/>
                <w:szCs w:val="20"/>
                <w:lang w:val="pt-BR"/>
              </w:rPr>
              <w:t>Und.</w:t>
            </w:r>
          </w:p>
        </w:tc>
        <w:tc>
          <w:tcPr>
            <w:tcW w:w="1059"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b/>
                <w:bCs/>
                <w:sz w:val="20"/>
                <w:szCs w:val="20"/>
                <w:lang w:val="pt-BR"/>
              </w:rPr>
              <w:t>Quant.</w:t>
            </w:r>
          </w:p>
        </w:tc>
        <w:tc>
          <w:tcPr>
            <w:tcW w:w="1306"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b/>
                <w:bCs/>
                <w:sz w:val="20"/>
                <w:szCs w:val="20"/>
                <w:lang w:val="pt-BR"/>
              </w:rPr>
              <w:t>Valor estimado unitário</w:t>
            </w:r>
          </w:p>
        </w:tc>
        <w:tc>
          <w:tcPr>
            <w:tcW w:w="1653"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b/>
                <w:bCs/>
                <w:sz w:val="20"/>
                <w:szCs w:val="20"/>
                <w:lang w:val="pt-BR"/>
              </w:rPr>
              <w:t>Valor estimado total</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01</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Açúcar cristal, branco aspecto</w:t>
            </w:r>
          </w:p>
          <w:p>
            <w:pPr>
              <w:pStyle w:val="TableParagraph"/>
              <w:spacing w:lineRule="auto" w:line="276" w:before="0" w:after="0"/>
              <w:ind w:left="0" w:right="0"/>
              <w:jc w:val="both"/>
              <w:rPr>
                <w:lang w:val="pt-BR"/>
              </w:rPr>
            </w:pPr>
            <w:r>
              <w:rPr>
                <w:rFonts w:ascii="Verdana" w:hAnsi="Verdana"/>
                <w:color w:val="000000"/>
                <w:sz w:val="20"/>
                <w:szCs w:val="20"/>
                <w:lang w:val="pt-BR"/>
              </w:rPr>
              <w:t>Granulado fino a médio, contendo</w:t>
            </w:r>
            <w:r>
              <w:rPr>
                <w:rFonts w:ascii="Verdana" w:hAnsi="Verdana"/>
                <w:color w:val="000000"/>
                <w:spacing w:val="-43"/>
                <w:sz w:val="20"/>
                <w:szCs w:val="20"/>
                <w:lang w:val="pt-BR"/>
              </w:rPr>
              <w:t xml:space="preserve"> </w:t>
            </w:r>
            <w:r>
              <w:rPr>
                <w:rFonts w:ascii="Verdana" w:hAnsi="Verdana"/>
                <w:color w:val="000000"/>
                <w:sz w:val="20"/>
                <w:szCs w:val="20"/>
                <w:lang w:val="pt-BR"/>
              </w:rPr>
              <w:t>no mínimo 99,3% de sacarose. O produto deve ser isento de fragmentos</w:t>
            </w:r>
            <w:r>
              <w:rPr>
                <w:rFonts w:ascii="Verdana" w:hAnsi="Verdana"/>
                <w:color w:val="000000"/>
                <w:spacing w:val="1"/>
                <w:sz w:val="20"/>
                <w:szCs w:val="20"/>
                <w:lang w:val="pt-BR"/>
              </w:rPr>
              <w:t xml:space="preserve"> </w:t>
            </w:r>
            <w:r>
              <w:rPr>
                <w:rFonts w:ascii="Verdana" w:hAnsi="Verdana"/>
                <w:color w:val="000000"/>
                <w:sz w:val="20"/>
                <w:szCs w:val="20"/>
                <w:lang w:val="pt-BR"/>
              </w:rPr>
              <w:t xml:space="preserve">estranhos, livre de </w:t>
            </w:r>
            <w:r>
              <w:rPr>
                <w:rFonts w:ascii="Verdana" w:hAnsi="Verdana"/>
                <w:color w:val="000000"/>
                <w:sz w:val="20"/>
                <w:szCs w:val="20"/>
                <w:lang w:val="pt-BR" w:eastAsia="en-US" w:bidi="ar-SA"/>
              </w:rPr>
              <w:t>umidade</w:t>
            </w:r>
            <w:r>
              <w:rPr>
                <w:rFonts w:ascii="Verdana" w:hAnsi="Verdana"/>
                <w:color w:val="000000"/>
                <w:sz w:val="20"/>
                <w:szCs w:val="20"/>
                <w:lang w:val="pt-BR"/>
              </w:rPr>
              <w:t>, acondicionada</w:t>
            </w:r>
            <w:r>
              <w:rPr>
                <w:rFonts w:ascii="Verdana" w:hAnsi="Verdana"/>
                <w:color w:val="000000"/>
                <w:spacing w:val="-43"/>
                <w:sz w:val="20"/>
                <w:szCs w:val="20"/>
                <w:lang w:val="pt-BR"/>
              </w:rPr>
              <w:t xml:space="preserve"> </w:t>
            </w:r>
            <w:r>
              <w:rPr>
                <w:rFonts w:ascii="Verdana" w:hAnsi="Verdana"/>
                <w:color w:val="000000"/>
                <w:sz w:val="20"/>
                <w:szCs w:val="20"/>
                <w:lang w:val="pt-BR"/>
              </w:rPr>
              <w:t>em embalagem de polietileno transparente original do fabricante, em pacote de 05 kg.</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R$ 21,43</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R$ 3.428,80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02</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Arroz tipo 1, subgrupo polido,</w:t>
            </w:r>
          </w:p>
          <w:p>
            <w:pPr>
              <w:pStyle w:val="TableParagraph"/>
              <w:spacing w:lineRule="auto" w:line="276" w:before="0" w:after="0"/>
              <w:ind w:left="0" w:right="0"/>
              <w:jc w:val="both"/>
              <w:rPr>
                <w:lang w:val="pt-BR"/>
              </w:rPr>
            </w:pPr>
            <w:r>
              <w:rPr>
                <w:rFonts w:ascii="Verdana" w:hAnsi="Verdana"/>
                <w:color w:val="000000"/>
                <w:sz w:val="20"/>
                <w:szCs w:val="20"/>
                <w:lang w:val="pt-BR"/>
              </w:rPr>
              <w:t>Classe longo, fino. O produto deve</w:t>
            </w:r>
            <w:r>
              <w:rPr>
                <w:rFonts w:ascii="Verdana" w:hAnsi="Verdana"/>
                <w:color w:val="000000"/>
                <w:spacing w:val="-43"/>
                <w:sz w:val="20"/>
                <w:szCs w:val="20"/>
                <w:lang w:val="pt-BR"/>
              </w:rPr>
              <w:t xml:space="preserve"> </w:t>
            </w:r>
            <w:r>
              <w:rPr>
                <w:rFonts w:ascii="Verdana" w:hAnsi="Verdana"/>
                <w:color w:val="000000"/>
                <w:sz w:val="20"/>
                <w:szCs w:val="20"/>
                <w:lang w:val="pt-BR"/>
              </w:rPr>
              <w:t>ser isento de fragmentos Estranhos livre de umidade, Acondicionada em embalagem de polietileno</w:t>
            </w:r>
            <w:r>
              <w:rPr>
                <w:rFonts w:ascii="Verdana" w:hAnsi="Verdana"/>
                <w:color w:val="000000"/>
                <w:spacing w:val="-43"/>
                <w:sz w:val="20"/>
                <w:szCs w:val="20"/>
                <w:lang w:val="pt-BR"/>
              </w:rPr>
              <w:t xml:space="preserve"> </w:t>
            </w:r>
            <w:r>
              <w:rPr>
                <w:rFonts w:ascii="Verdana" w:hAnsi="Verdana"/>
                <w:color w:val="000000"/>
                <w:sz w:val="20"/>
                <w:szCs w:val="20"/>
                <w:lang w:val="pt-BR"/>
              </w:rPr>
              <w:t>transparente original do fabricante, em</w:t>
            </w:r>
            <w:r>
              <w:rPr>
                <w:rFonts w:ascii="Verdana" w:hAnsi="Verdana"/>
                <w:color w:val="000000"/>
                <w:spacing w:val="1"/>
                <w:sz w:val="20"/>
                <w:szCs w:val="20"/>
                <w:lang w:val="pt-BR"/>
              </w:rPr>
              <w:t xml:space="preserve"> </w:t>
            </w:r>
            <w:r>
              <w:rPr>
                <w:rFonts w:ascii="Verdana" w:hAnsi="Verdana"/>
                <w:color w:val="000000"/>
                <w:sz w:val="20"/>
                <w:szCs w:val="20"/>
                <w:lang w:val="pt-BR"/>
              </w:rPr>
              <w:t>pacote de 05 kg.</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R$ 26,92</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R$ 4.307,20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03</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Farinha de mandioca de 1ª qualidade, Fina, seca, isento de fragmentos estranhos,</w:t>
            </w:r>
            <w:r>
              <w:rPr>
                <w:rFonts w:ascii="Verdana" w:hAnsi="Verdana"/>
                <w:color w:val="000000"/>
                <w:spacing w:val="-43"/>
                <w:sz w:val="20"/>
                <w:szCs w:val="20"/>
                <w:lang w:val="pt-BR"/>
              </w:rPr>
              <w:t xml:space="preserve"> </w:t>
            </w:r>
            <w:r>
              <w:rPr>
                <w:rFonts w:ascii="Verdana" w:hAnsi="Verdana"/>
                <w:color w:val="000000"/>
                <w:sz w:val="20"/>
                <w:szCs w:val="20"/>
                <w:lang w:val="pt-BR"/>
              </w:rPr>
              <w:t>parasitas e detritos, livre de umidade, com</w:t>
            </w:r>
            <w:r>
              <w:rPr>
                <w:rFonts w:ascii="Verdana" w:hAnsi="Verdana"/>
                <w:color w:val="000000"/>
                <w:spacing w:val="1"/>
                <w:sz w:val="20"/>
                <w:szCs w:val="20"/>
                <w:lang w:val="pt-BR"/>
              </w:rPr>
              <w:t xml:space="preserve"> </w:t>
            </w:r>
            <w:r>
              <w:rPr>
                <w:rFonts w:ascii="Verdana" w:hAnsi="Verdana"/>
                <w:color w:val="000000"/>
                <w:sz w:val="20"/>
                <w:szCs w:val="20"/>
                <w:lang w:val="pt-BR"/>
              </w:rPr>
              <w:t>registro do ministério competente,</w:t>
            </w:r>
            <w:r>
              <w:rPr>
                <w:rFonts w:ascii="Verdana" w:hAnsi="Verdana"/>
                <w:color w:val="000000"/>
                <w:spacing w:val="1"/>
                <w:sz w:val="20"/>
                <w:szCs w:val="20"/>
                <w:lang w:val="pt-BR"/>
              </w:rPr>
              <w:t xml:space="preserve"> </w:t>
            </w:r>
            <w:r>
              <w:rPr>
                <w:rFonts w:ascii="Verdana" w:hAnsi="Verdana"/>
                <w:color w:val="000000"/>
                <w:sz w:val="20"/>
                <w:szCs w:val="20"/>
                <w:lang w:val="pt-BR"/>
              </w:rPr>
              <w:t>embalagem contento dados de</w:t>
            </w:r>
            <w:r>
              <w:rPr>
                <w:rFonts w:ascii="Verdana" w:hAnsi="Verdana"/>
                <w:color w:val="000000"/>
                <w:spacing w:val="1"/>
                <w:sz w:val="20"/>
                <w:szCs w:val="20"/>
                <w:lang w:val="pt-BR"/>
              </w:rPr>
              <w:t xml:space="preserve"> </w:t>
            </w:r>
            <w:r>
              <w:rPr>
                <w:rFonts w:ascii="Verdana" w:hAnsi="Verdana"/>
                <w:color w:val="000000"/>
                <w:sz w:val="20"/>
                <w:szCs w:val="20"/>
                <w:lang w:val="pt-BR"/>
              </w:rPr>
              <w:t>identificação, procedência, informação</w:t>
            </w:r>
            <w:r>
              <w:rPr>
                <w:rFonts w:ascii="Verdana" w:hAnsi="Verdana"/>
                <w:color w:val="000000"/>
                <w:spacing w:val="1"/>
                <w:sz w:val="20"/>
                <w:szCs w:val="20"/>
                <w:lang w:val="pt-BR"/>
              </w:rPr>
              <w:t xml:space="preserve"> </w:t>
            </w:r>
            <w:r>
              <w:rPr>
                <w:rFonts w:ascii="Verdana" w:hAnsi="Verdana"/>
                <w:color w:val="000000"/>
                <w:sz w:val="20"/>
                <w:szCs w:val="20"/>
                <w:lang w:val="pt-BR"/>
              </w:rPr>
              <w:t>nutricional, número de lote e data de</w:t>
            </w:r>
            <w:r>
              <w:rPr>
                <w:rFonts w:ascii="Verdana" w:hAnsi="Verdana"/>
                <w:color w:val="000000"/>
                <w:spacing w:val="1"/>
                <w:sz w:val="20"/>
                <w:szCs w:val="20"/>
                <w:lang w:val="pt-BR"/>
              </w:rPr>
              <w:t xml:space="preserve"> </w:t>
            </w:r>
            <w:r>
              <w:rPr>
                <w:rFonts w:ascii="Verdana" w:hAnsi="Verdana"/>
                <w:color w:val="000000"/>
                <w:sz w:val="20"/>
                <w:szCs w:val="20"/>
                <w:lang w:val="pt-BR"/>
              </w:rPr>
              <w:t>validade. Embalagem plástica de 01 kg,</w:t>
            </w:r>
            <w:r>
              <w:rPr>
                <w:rFonts w:ascii="Verdana" w:hAnsi="Verdana"/>
                <w:color w:val="000000"/>
                <w:spacing w:val="1"/>
                <w:sz w:val="20"/>
                <w:szCs w:val="20"/>
                <w:lang w:val="pt-BR"/>
              </w:rPr>
              <w:t xml:space="preserve"> </w:t>
            </w:r>
            <w:r>
              <w:rPr>
                <w:rFonts w:ascii="Verdana" w:hAnsi="Verdana"/>
                <w:color w:val="000000"/>
                <w:sz w:val="20"/>
                <w:szCs w:val="20"/>
                <w:lang w:val="pt-BR"/>
              </w:rPr>
              <w:t>validade mínima de 06 meses a partir da</w:t>
            </w:r>
          </w:p>
          <w:p>
            <w:pPr>
              <w:pStyle w:val="TableParagraph"/>
              <w:spacing w:lineRule="auto" w:line="276" w:before="0" w:after="0"/>
              <w:ind w:left="0" w:right="0"/>
              <w:jc w:val="both"/>
              <w:rPr>
                <w:lang w:val="pt-BR"/>
              </w:rPr>
            </w:pPr>
            <w:r>
              <w:rPr>
                <w:rFonts w:ascii="Verdana" w:hAnsi="Verdana"/>
                <w:color w:val="000000"/>
                <w:sz w:val="20"/>
                <w:szCs w:val="20"/>
                <w:lang w:val="pt-BR"/>
              </w:rPr>
              <w:t>Data de 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R$ 7,06</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R$ 423,60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04</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Farinha de trigo farinha de trigo grupo: Doméstico tipo: tipo 1, especial ingrediente</w:t>
            </w:r>
            <w:r>
              <w:rPr>
                <w:rFonts w:ascii="Verdana" w:hAnsi="Verdana"/>
                <w:color w:val="000000"/>
                <w:spacing w:val="-43"/>
                <w:sz w:val="20"/>
                <w:szCs w:val="20"/>
                <w:lang w:val="pt-BR"/>
              </w:rPr>
              <w:t xml:space="preserve"> </w:t>
            </w:r>
            <w:r>
              <w:rPr>
                <w:rFonts w:ascii="Verdana" w:hAnsi="Verdana"/>
                <w:color w:val="000000"/>
                <w:sz w:val="20"/>
                <w:szCs w:val="20"/>
                <w:lang w:val="pt-BR"/>
              </w:rPr>
              <w:t>adicional: com fermento, fortificada com</w:t>
            </w:r>
            <w:r>
              <w:rPr>
                <w:rFonts w:ascii="Verdana" w:hAnsi="Verdana"/>
                <w:color w:val="000000"/>
                <w:spacing w:val="1"/>
                <w:sz w:val="20"/>
                <w:szCs w:val="20"/>
                <w:lang w:val="pt-BR"/>
              </w:rPr>
              <w:t xml:space="preserve"> </w:t>
            </w:r>
            <w:r>
              <w:rPr>
                <w:rFonts w:ascii="Verdana" w:hAnsi="Verdana"/>
                <w:color w:val="000000"/>
                <w:sz w:val="20"/>
                <w:szCs w:val="20"/>
                <w:lang w:val="pt-BR"/>
              </w:rPr>
              <w:t>ferro e ácido fólico pacote 1 kg</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300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R$ 5,73</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R$ 1.719,00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05</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Fermento biológico seco,</w:t>
            </w:r>
            <w:r>
              <w:rPr>
                <w:rFonts w:ascii="Verdana" w:hAnsi="Verdana"/>
                <w:color w:val="000000"/>
                <w:spacing w:val="1"/>
                <w:sz w:val="20"/>
                <w:szCs w:val="20"/>
                <w:lang w:val="pt-BR"/>
              </w:rPr>
              <w:t xml:space="preserve"> </w:t>
            </w:r>
            <w:r>
              <w:rPr>
                <w:rFonts w:ascii="Verdana" w:hAnsi="Verdana"/>
                <w:color w:val="000000"/>
                <w:sz w:val="20"/>
                <w:szCs w:val="20"/>
                <w:lang w:val="pt-BR"/>
              </w:rPr>
              <w:t>instantâneo, obtido de culturas</w:t>
            </w:r>
            <w:r>
              <w:rPr>
                <w:rFonts w:ascii="Verdana" w:hAnsi="Verdana"/>
                <w:color w:val="000000"/>
                <w:spacing w:val="1"/>
                <w:sz w:val="20"/>
                <w:szCs w:val="20"/>
                <w:lang w:val="pt-BR"/>
              </w:rPr>
              <w:t xml:space="preserve"> </w:t>
            </w:r>
            <w:r>
              <w:rPr>
                <w:rFonts w:ascii="Verdana" w:hAnsi="Verdana"/>
                <w:color w:val="000000"/>
                <w:sz w:val="20"/>
                <w:szCs w:val="20"/>
                <w:lang w:val="pt-BR"/>
              </w:rPr>
              <w:t>puras</w:t>
            </w:r>
            <w:r>
              <w:rPr>
                <w:rFonts w:ascii="Verdana" w:hAnsi="Verdana"/>
                <w:color w:val="000000"/>
                <w:spacing w:val="-5"/>
                <w:sz w:val="20"/>
                <w:szCs w:val="20"/>
                <w:lang w:val="pt-BR"/>
              </w:rPr>
              <w:t xml:space="preserve"> </w:t>
            </w:r>
            <w:r>
              <w:rPr>
                <w:rFonts w:ascii="Verdana" w:hAnsi="Verdana"/>
                <w:color w:val="000000"/>
                <w:sz w:val="20"/>
                <w:szCs w:val="20"/>
                <w:lang w:val="pt-BR"/>
              </w:rPr>
              <w:t>da</w:t>
            </w:r>
            <w:r>
              <w:rPr>
                <w:rFonts w:ascii="Verdana" w:hAnsi="Verdana"/>
                <w:color w:val="000000"/>
                <w:spacing w:val="-5"/>
                <w:sz w:val="20"/>
                <w:szCs w:val="20"/>
                <w:lang w:val="pt-BR"/>
              </w:rPr>
              <w:t xml:space="preserve"> </w:t>
            </w:r>
            <w:r>
              <w:rPr>
                <w:rFonts w:ascii="Verdana" w:hAnsi="Verdana"/>
                <w:color w:val="000000"/>
                <w:sz w:val="20"/>
                <w:szCs w:val="20"/>
                <w:lang w:val="pt-BR"/>
              </w:rPr>
              <w:t>levedura</w:t>
            </w:r>
            <w:r>
              <w:rPr>
                <w:rFonts w:ascii="Verdana" w:hAnsi="Verdana"/>
                <w:color w:val="000000"/>
                <w:spacing w:val="-5"/>
                <w:sz w:val="20"/>
                <w:szCs w:val="20"/>
                <w:lang w:val="pt-BR"/>
              </w:rPr>
              <w:t xml:space="preserve"> </w:t>
            </w:r>
            <w:r>
              <w:rPr>
                <w:rFonts w:ascii="Verdana" w:hAnsi="Verdana"/>
                <w:color w:val="000000"/>
                <w:sz w:val="20"/>
                <w:szCs w:val="20"/>
                <w:lang w:val="pt-BR"/>
              </w:rPr>
              <w:t>saccharomyces Cerevisias, isento de substâncias Estranhas à sua composição, cheiro, cor e</w:t>
            </w:r>
            <w:r>
              <w:rPr>
                <w:rFonts w:ascii="Verdana" w:hAnsi="Verdana"/>
                <w:color w:val="000000"/>
                <w:spacing w:val="1"/>
                <w:sz w:val="20"/>
                <w:szCs w:val="20"/>
                <w:lang w:val="pt-BR"/>
              </w:rPr>
              <w:t xml:space="preserve"> </w:t>
            </w:r>
            <w:r>
              <w:rPr>
                <w:rFonts w:ascii="Verdana" w:hAnsi="Verdana"/>
                <w:color w:val="000000"/>
                <w:sz w:val="20"/>
                <w:szCs w:val="20"/>
                <w:lang w:val="pt-BR"/>
              </w:rPr>
              <w:t>sabores característicos. Acondicionado em</w:t>
            </w:r>
            <w:r>
              <w:rPr>
                <w:rFonts w:ascii="Verdana" w:hAnsi="Verdana"/>
                <w:color w:val="000000"/>
                <w:spacing w:val="1"/>
                <w:sz w:val="20"/>
                <w:szCs w:val="20"/>
                <w:lang w:val="pt-BR"/>
              </w:rPr>
              <w:t xml:space="preserve"> </w:t>
            </w:r>
            <w:r>
              <w:rPr>
                <w:rFonts w:ascii="Verdana" w:hAnsi="Verdana"/>
                <w:color w:val="000000"/>
                <w:sz w:val="20"/>
                <w:szCs w:val="20"/>
                <w:lang w:val="pt-BR"/>
              </w:rPr>
              <w:t>embalagem de 125 g. Validade mínima de 6</w:t>
            </w:r>
            <w:r>
              <w:rPr>
                <w:rFonts w:ascii="Verdana" w:hAnsi="Verdana"/>
                <w:color w:val="000000"/>
                <w:spacing w:val="-43"/>
                <w:sz w:val="20"/>
                <w:szCs w:val="20"/>
                <w:lang w:val="pt-BR"/>
              </w:rPr>
              <w:t xml:space="preserve"> </w:t>
            </w:r>
            <w:r>
              <w:rPr>
                <w:rFonts w:ascii="Verdana" w:hAnsi="Verdana"/>
                <w:color w:val="000000"/>
                <w:sz w:val="20"/>
                <w:szCs w:val="20"/>
                <w:lang w:val="pt-BR"/>
              </w:rPr>
              <w:t>meses após a 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EMB</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R$ 10,06</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R$ 603,60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06</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Fubá de milho pré-cozido, Enriquecido com ferro e ácido</w:t>
            </w:r>
            <w:r>
              <w:rPr>
                <w:rFonts w:ascii="Verdana" w:hAnsi="Verdana"/>
                <w:color w:val="000000"/>
                <w:spacing w:val="1"/>
                <w:sz w:val="20"/>
                <w:szCs w:val="20"/>
                <w:lang w:val="pt-BR"/>
              </w:rPr>
              <w:t xml:space="preserve"> </w:t>
            </w:r>
            <w:r>
              <w:rPr>
                <w:rFonts w:ascii="Verdana" w:hAnsi="Verdana"/>
                <w:color w:val="000000"/>
                <w:sz w:val="20"/>
                <w:szCs w:val="20"/>
                <w:lang w:val="pt-BR"/>
              </w:rPr>
              <w:t>fólico,</w:t>
            </w:r>
            <w:r>
              <w:rPr>
                <w:rFonts w:ascii="Verdana" w:hAnsi="Verdana"/>
                <w:color w:val="000000"/>
                <w:spacing w:val="-4"/>
                <w:sz w:val="20"/>
                <w:szCs w:val="20"/>
                <w:lang w:val="pt-BR"/>
              </w:rPr>
              <w:t xml:space="preserve"> </w:t>
            </w:r>
            <w:r>
              <w:rPr>
                <w:rFonts w:ascii="Verdana" w:hAnsi="Verdana"/>
                <w:color w:val="000000"/>
                <w:sz w:val="20"/>
                <w:szCs w:val="20"/>
                <w:lang w:val="pt-BR"/>
              </w:rPr>
              <w:t>vitamina</w:t>
            </w:r>
            <w:r>
              <w:rPr>
                <w:rFonts w:ascii="Verdana" w:hAnsi="Verdana"/>
                <w:color w:val="000000"/>
                <w:spacing w:val="-3"/>
                <w:sz w:val="20"/>
                <w:szCs w:val="20"/>
                <w:lang w:val="pt-BR"/>
              </w:rPr>
              <w:t xml:space="preserve"> </w:t>
            </w:r>
            <w:r>
              <w:rPr>
                <w:rFonts w:ascii="Verdana" w:hAnsi="Verdana"/>
                <w:color w:val="000000"/>
                <w:sz w:val="20"/>
                <w:szCs w:val="20"/>
                <w:lang w:val="pt-BR"/>
              </w:rPr>
              <w:t>b9,</w:t>
            </w:r>
            <w:r>
              <w:rPr>
                <w:rFonts w:ascii="Verdana" w:hAnsi="Verdana"/>
                <w:color w:val="000000"/>
                <w:spacing w:val="-3"/>
                <w:sz w:val="20"/>
                <w:szCs w:val="20"/>
                <w:lang w:val="pt-BR"/>
              </w:rPr>
              <w:t xml:space="preserve"> </w:t>
            </w:r>
            <w:r>
              <w:rPr>
                <w:rFonts w:ascii="Verdana" w:hAnsi="Verdana"/>
                <w:color w:val="000000"/>
                <w:sz w:val="20"/>
                <w:szCs w:val="20"/>
                <w:lang w:val="pt-BR"/>
              </w:rPr>
              <w:t>em</w:t>
            </w:r>
            <w:r>
              <w:rPr>
                <w:rFonts w:ascii="Verdana" w:hAnsi="Verdana"/>
                <w:color w:val="000000"/>
                <w:spacing w:val="-4"/>
                <w:sz w:val="20"/>
                <w:szCs w:val="20"/>
                <w:lang w:val="pt-BR"/>
              </w:rPr>
              <w:t xml:space="preserve"> </w:t>
            </w:r>
            <w:r>
              <w:rPr>
                <w:rFonts w:ascii="Verdana" w:hAnsi="Verdana"/>
                <w:color w:val="000000"/>
                <w:sz w:val="20"/>
                <w:szCs w:val="20"/>
                <w:lang w:val="pt-BR"/>
              </w:rPr>
              <w:t>embalagem</w:t>
            </w:r>
            <w:r>
              <w:rPr>
                <w:rFonts w:ascii="Verdana" w:hAnsi="Verdana"/>
                <w:color w:val="000000"/>
                <w:spacing w:val="-3"/>
                <w:sz w:val="20"/>
                <w:szCs w:val="20"/>
                <w:lang w:val="pt-BR"/>
              </w:rPr>
              <w:t xml:space="preserve"> </w:t>
            </w:r>
            <w:r>
              <w:rPr>
                <w:rFonts w:ascii="Verdana" w:hAnsi="Verdana"/>
                <w:color w:val="000000"/>
                <w:sz w:val="20"/>
                <w:szCs w:val="20"/>
                <w:lang w:val="pt-BR"/>
              </w:rPr>
              <w:t>de 01 kg grão: amarelo tipo: fubá Característica adicional: não transgênico</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90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R$ 3,93</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R$ 353,70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07</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Leite integral UHT, original, caixa Com 12 und x 01 litro origem: de vaca</w:t>
            </w:r>
            <w:r>
              <w:rPr>
                <w:rFonts w:ascii="Verdana" w:hAnsi="Verdana"/>
                <w:color w:val="000000"/>
                <w:spacing w:val="-43"/>
                <w:sz w:val="20"/>
                <w:szCs w:val="20"/>
                <w:lang w:val="pt-BR"/>
              </w:rPr>
              <w:t xml:space="preserve"> </w:t>
            </w:r>
            <w:r>
              <w:rPr>
                <w:rFonts w:ascii="Verdana" w:hAnsi="Verdana"/>
                <w:color w:val="000000"/>
                <w:sz w:val="20"/>
                <w:szCs w:val="20"/>
                <w:lang w:val="pt-BR"/>
              </w:rPr>
              <w:t>tipo: a teor gordura: integral Processamento: UHT</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CX</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200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R$ 54,25</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R$ 10.850,00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08</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Macarrão espaguete c/ sêmola em Pct c/ 01 kg, com corante natural de</w:t>
            </w:r>
            <w:r>
              <w:rPr>
                <w:rFonts w:ascii="Verdana" w:hAnsi="Verdana"/>
                <w:color w:val="000000"/>
                <w:spacing w:val="-43"/>
                <w:sz w:val="20"/>
                <w:szCs w:val="20"/>
                <w:lang w:val="pt-BR"/>
              </w:rPr>
              <w:t xml:space="preserve"> </w:t>
            </w:r>
            <w:r>
              <w:rPr>
                <w:rFonts w:ascii="Verdana" w:hAnsi="Verdana"/>
                <w:color w:val="000000"/>
                <w:sz w:val="20"/>
                <w:szCs w:val="20"/>
                <w:lang w:val="pt-BR"/>
              </w:rPr>
              <w:t>betacaroteno, a massa não deverá Turvar a água antes da cocção, não poderá</w:t>
            </w:r>
            <w:r>
              <w:rPr>
                <w:rFonts w:ascii="Verdana" w:hAnsi="Verdana"/>
                <w:color w:val="000000"/>
                <w:spacing w:val="1"/>
                <w:sz w:val="20"/>
                <w:szCs w:val="20"/>
                <w:lang w:val="pt-BR"/>
              </w:rPr>
              <w:t xml:space="preserve"> </w:t>
            </w:r>
            <w:r>
              <w:rPr>
                <w:rFonts w:ascii="Verdana" w:hAnsi="Verdana"/>
                <w:color w:val="000000"/>
                <w:sz w:val="20"/>
                <w:szCs w:val="20"/>
                <w:lang w:val="pt-BR"/>
              </w:rPr>
              <w:t>estar fermentada ou rançosa, com</w:t>
            </w:r>
            <w:r>
              <w:rPr>
                <w:rFonts w:ascii="Verdana" w:hAnsi="Verdana"/>
                <w:color w:val="000000"/>
                <w:spacing w:val="1"/>
                <w:sz w:val="20"/>
                <w:szCs w:val="20"/>
                <w:lang w:val="pt-BR"/>
              </w:rPr>
              <w:t xml:space="preserve"> </w:t>
            </w:r>
            <w:r>
              <w:rPr>
                <w:rFonts w:ascii="Verdana" w:hAnsi="Verdana"/>
                <w:color w:val="000000"/>
                <w:sz w:val="20"/>
                <w:szCs w:val="20"/>
                <w:lang w:val="pt-BR"/>
              </w:rPr>
              <w:t>rendimento mínimo de duas vezes a mais o</w:t>
            </w:r>
            <w:r>
              <w:rPr>
                <w:rFonts w:ascii="Verdana" w:hAnsi="Verdana"/>
                <w:color w:val="000000"/>
                <w:spacing w:val="-43"/>
                <w:sz w:val="20"/>
                <w:szCs w:val="20"/>
                <w:lang w:val="pt-BR"/>
              </w:rPr>
              <w:t xml:space="preserve"> </w:t>
            </w:r>
            <w:r>
              <w:rPr>
                <w:rFonts w:ascii="Verdana" w:hAnsi="Verdana"/>
                <w:color w:val="000000"/>
                <w:sz w:val="20"/>
                <w:szCs w:val="20"/>
                <w:lang w:val="pt-BR"/>
              </w:rPr>
              <w:t>peso antes da cocção. Validade mínima de</w:t>
            </w:r>
            <w:r>
              <w:rPr>
                <w:rFonts w:ascii="Verdana" w:hAnsi="Verdana"/>
                <w:color w:val="000000"/>
                <w:spacing w:val="1"/>
                <w:sz w:val="20"/>
                <w:szCs w:val="20"/>
                <w:lang w:val="pt-BR"/>
              </w:rPr>
              <w:t xml:space="preserve"> </w:t>
            </w:r>
            <w:r>
              <w:rPr>
                <w:rFonts w:ascii="Verdana" w:hAnsi="Verdana"/>
                <w:color w:val="000000"/>
                <w:sz w:val="20"/>
                <w:szCs w:val="20"/>
                <w:lang w:val="pt-BR"/>
              </w:rPr>
              <w:t>4 meses após a 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80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R$ 6,63</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R$ 530,40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09</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Óleo de soja refinado – tipo 1, líquido viscoso,</w:t>
            </w:r>
            <w:r>
              <w:rPr>
                <w:rFonts w:ascii="Verdana" w:hAnsi="Verdana"/>
                <w:color w:val="000000"/>
                <w:spacing w:val="2"/>
                <w:sz w:val="20"/>
                <w:szCs w:val="20"/>
                <w:lang w:val="pt-BR"/>
              </w:rPr>
              <w:t xml:space="preserve"> </w:t>
            </w:r>
            <w:r>
              <w:rPr>
                <w:rFonts w:ascii="Verdana" w:hAnsi="Verdana"/>
                <w:color w:val="000000"/>
                <w:sz w:val="20"/>
                <w:szCs w:val="20"/>
                <w:lang w:val="pt-BR"/>
              </w:rPr>
              <w:t>fabricado</w:t>
            </w:r>
            <w:r>
              <w:rPr>
                <w:rFonts w:ascii="Verdana" w:hAnsi="Verdana"/>
                <w:color w:val="000000"/>
                <w:spacing w:val="2"/>
                <w:sz w:val="20"/>
                <w:szCs w:val="20"/>
                <w:lang w:val="pt-BR"/>
              </w:rPr>
              <w:t xml:space="preserve"> </w:t>
            </w:r>
            <w:r>
              <w:rPr>
                <w:rFonts w:ascii="Verdana" w:hAnsi="Verdana"/>
                <w:color w:val="000000"/>
                <w:sz w:val="20"/>
                <w:szCs w:val="20"/>
                <w:lang w:val="pt-BR"/>
              </w:rPr>
              <w:t>a</w:t>
            </w:r>
            <w:r>
              <w:rPr>
                <w:rFonts w:ascii="Verdana" w:hAnsi="Verdana"/>
                <w:color w:val="000000"/>
                <w:spacing w:val="2"/>
                <w:sz w:val="20"/>
                <w:szCs w:val="20"/>
                <w:lang w:val="pt-BR"/>
              </w:rPr>
              <w:t xml:space="preserve"> </w:t>
            </w:r>
            <w:r>
              <w:rPr>
                <w:rFonts w:ascii="Verdana" w:hAnsi="Verdana"/>
                <w:color w:val="000000"/>
                <w:sz w:val="20"/>
                <w:szCs w:val="20"/>
                <w:lang w:val="pt-BR"/>
              </w:rPr>
              <w:t>partir</w:t>
            </w:r>
            <w:r>
              <w:rPr>
                <w:rFonts w:ascii="Verdana" w:hAnsi="Verdana"/>
                <w:color w:val="000000"/>
                <w:spacing w:val="3"/>
                <w:sz w:val="20"/>
                <w:szCs w:val="20"/>
                <w:lang w:val="pt-BR"/>
              </w:rPr>
              <w:t xml:space="preserve"> </w:t>
            </w:r>
            <w:r>
              <w:rPr>
                <w:rFonts w:ascii="Verdana" w:hAnsi="Verdana"/>
                <w:color w:val="000000"/>
                <w:sz w:val="20"/>
                <w:szCs w:val="20"/>
                <w:lang w:val="pt-BR"/>
              </w:rPr>
              <w:t>de</w:t>
            </w:r>
            <w:r>
              <w:rPr>
                <w:rFonts w:ascii="Verdana" w:hAnsi="Verdana"/>
                <w:color w:val="000000"/>
                <w:spacing w:val="2"/>
                <w:sz w:val="20"/>
                <w:szCs w:val="20"/>
                <w:lang w:val="pt-BR"/>
              </w:rPr>
              <w:t xml:space="preserve"> </w:t>
            </w:r>
            <w:r>
              <w:rPr>
                <w:rFonts w:ascii="Verdana" w:hAnsi="Verdana"/>
                <w:color w:val="000000"/>
                <w:sz w:val="20"/>
                <w:szCs w:val="20"/>
                <w:lang w:val="pt-BR"/>
              </w:rPr>
              <w:t>matérias</w:t>
            </w:r>
            <w:r>
              <w:rPr>
                <w:rFonts w:ascii="Verdana" w:hAnsi="Verdana"/>
                <w:color w:val="000000"/>
                <w:spacing w:val="1"/>
                <w:sz w:val="20"/>
                <w:szCs w:val="20"/>
                <w:lang w:val="pt-BR"/>
              </w:rPr>
              <w:t xml:space="preserve"> </w:t>
            </w:r>
            <w:r>
              <w:rPr>
                <w:rFonts w:ascii="Verdana" w:hAnsi="Verdana"/>
                <w:color w:val="000000"/>
                <w:sz w:val="20"/>
                <w:szCs w:val="20"/>
                <w:lang w:val="pt-BR"/>
              </w:rPr>
              <w:t>primas sãs e limpas; em embalagem plástica</w:t>
            </w:r>
            <w:r>
              <w:rPr>
                <w:rFonts w:ascii="Verdana" w:hAnsi="Verdana"/>
                <w:color w:val="000000"/>
                <w:spacing w:val="-43"/>
                <w:sz w:val="20"/>
                <w:szCs w:val="20"/>
                <w:lang w:val="pt-BR"/>
              </w:rPr>
              <w:t xml:space="preserve"> </w:t>
            </w:r>
            <w:r>
              <w:rPr>
                <w:rFonts w:ascii="Verdana" w:hAnsi="Verdana"/>
                <w:color w:val="000000"/>
                <w:sz w:val="20"/>
                <w:szCs w:val="20"/>
                <w:lang w:val="pt-BR"/>
              </w:rPr>
              <w:t>original com 900 ml. Validade mínima de 04 meses após a 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PET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180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R$ 7,02</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R$ 1.263,60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10</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Canjiquinha de milho em pct c 01 kg Canjica grupo: especial, nº 3 subgrupo:</w:t>
            </w:r>
            <w:r>
              <w:rPr>
                <w:rFonts w:ascii="Verdana" w:hAnsi="Verdana"/>
                <w:color w:val="000000"/>
                <w:spacing w:val="1"/>
                <w:sz w:val="20"/>
                <w:szCs w:val="20"/>
                <w:lang w:val="pt-BR"/>
              </w:rPr>
              <w:t xml:space="preserve"> </w:t>
            </w:r>
            <w:r>
              <w:rPr>
                <w:rFonts w:ascii="Verdana" w:hAnsi="Verdana"/>
                <w:color w:val="000000"/>
                <w:sz w:val="20"/>
                <w:szCs w:val="20"/>
                <w:lang w:val="pt-BR"/>
              </w:rPr>
              <w:t>despeliculada classe: amarela qualidade:</w:t>
            </w:r>
            <w:r>
              <w:rPr>
                <w:rFonts w:ascii="Verdana" w:hAnsi="Verdana"/>
                <w:color w:val="000000"/>
                <w:spacing w:val="-43"/>
                <w:sz w:val="20"/>
                <w:szCs w:val="20"/>
                <w:lang w:val="pt-BR"/>
              </w:rPr>
              <w:t xml:space="preserve"> </w:t>
            </w:r>
            <w:r>
              <w:rPr>
                <w:rFonts w:ascii="Verdana" w:hAnsi="Verdana"/>
                <w:color w:val="000000"/>
                <w:sz w:val="20"/>
                <w:szCs w:val="20"/>
                <w:lang w:val="pt-BR"/>
              </w:rPr>
              <w:t>tipo 3 característica adicional: não Transgênico</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R$ 6,96</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R$ 417,60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11</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Fermento em pó químico embalagem Com 250 gr</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EMB</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R$ 10,38</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R$ 622,80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12</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Macarrão parafuso com sêmola, Pacote com 01 kg teor de umidade:</w:t>
            </w:r>
            <w:r>
              <w:rPr>
                <w:rFonts w:ascii="Verdana" w:hAnsi="Verdana"/>
                <w:color w:val="000000"/>
                <w:spacing w:val="1"/>
                <w:sz w:val="20"/>
                <w:szCs w:val="20"/>
                <w:lang w:val="pt-BR"/>
              </w:rPr>
              <w:t xml:space="preserve"> </w:t>
            </w:r>
            <w:r>
              <w:rPr>
                <w:rFonts w:ascii="Verdana" w:hAnsi="Verdana"/>
                <w:color w:val="000000"/>
                <w:sz w:val="20"/>
                <w:szCs w:val="20"/>
                <w:lang w:val="pt-BR"/>
              </w:rPr>
              <w:t>massa seca base da massa: de farinha de</w:t>
            </w:r>
            <w:r>
              <w:rPr>
                <w:rFonts w:ascii="Verdana" w:hAnsi="Verdana"/>
                <w:color w:val="000000"/>
                <w:spacing w:val="-43"/>
                <w:sz w:val="20"/>
                <w:szCs w:val="20"/>
                <w:lang w:val="pt-BR"/>
              </w:rPr>
              <w:t xml:space="preserve"> </w:t>
            </w:r>
            <w:r>
              <w:rPr>
                <w:rFonts w:ascii="Verdana" w:hAnsi="Verdana"/>
                <w:color w:val="000000"/>
                <w:sz w:val="20"/>
                <w:szCs w:val="20"/>
                <w:lang w:val="pt-BR"/>
              </w:rPr>
              <w:t>trigo apresentação: parafuso</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R$ 6,62</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R$ 397,20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13</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Café torrado e moído, de 1ª</w:t>
            </w:r>
            <w:r>
              <w:rPr>
                <w:rFonts w:ascii="Verdana" w:hAnsi="Verdana"/>
                <w:color w:val="000000"/>
                <w:spacing w:val="1"/>
                <w:sz w:val="20"/>
                <w:szCs w:val="20"/>
                <w:lang w:val="pt-BR"/>
              </w:rPr>
              <w:t xml:space="preserve"> </w:t>
            </w:r>
            <w:r>
              <w:rPr>
                <w:rFonts w:ascii="Verdana" w:hAnsi="Verdana"/>
                <w:color w:val="000000"/>
                <w:sz w:val="20"/>
                <w:szCs w:val="20"/>
                <w:lang w:val="pt-BR"/>
              </w:rPr>
              <w:t>qualidade, com selo de pureza abic,</w:t>
            </w:r>
            <w:r>
              <w:rPr>
                <w:rFonts w:ascii="Verdana" w:hAnsi="Verdana"/>
                <w:color w:val="000000"/>
                <w:spacing w:val="-43"/>
                <w:sz w:val="20"/>
                <w:szCs w:val="20"/>
                <w:lang w:val="pt-BR"/>
              </w:rPr>
              <w:t xml:space="preserve"> </w:t>
            </w:r>
            <w:r>
              <w:rPr>
                <w:rFonts w:ascii="Verdana" w:hAnsi="Verdana"/>
                <w:color w:val="000000"/>
                <w:sz w:val="20"/>
                <w:szCs w:val="20"/>
                <w:lang w:val="pt-BR"/>
              </w:rPr>
              <w:t>embalado automaticamente, Acondicionado em embalagem metalizada</w:t>
            </w:r>
            <w:r>
              <w:rPr>
                <w:rFonts w:ascii="Verdana" w:hAnsi="Verdana"/>
                <w:color w:val="000000"/>
                <w:spacing w:val="-43"/>
                <w:sz w:val="20"/>
                <w:szCs w:val="20"/>
                <w:lang w:val="pt-BR"/>
              </w:rPr>
              <w:t xml:space="preserve"> </w:t>
            </w:r>
            <w:r>
              <w:rPr>
                <w:rFonts w:ascii="Verdana" w:hAnsi="Verdana"/>
                <w:color w:val="000000"/>
                <w:sz w:val="20"/>
                <w:szCs w:val="20"/>
                <w:lang w:val="pt-BR"/>
              </w:rPr>
              <w:t>original com 500 g</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180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R$ 23,26</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R$ 4.186,80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14</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Feijão carioca, tipo 01, pacote 02 Kg.</w:t>
            </w:r>
            <w:r>
              <w:rPr>
                <w:rFonts w:ascii="Verdana" w:hAnsi="Verdana"/>
                <w:color w:val="000000"/>
                <w:spacing w:val="1"/>
                <w:sz w:val="20"/>
                <w:szCs w:val="20"/>
                <w:lang w:val="pt-BR"/>
              </w:rPr>
              <w:t xml:space="preserve"> </w:t>
            </w:r>
            <w:r>
              <w:rPr>
                <w:rFonts w:ascii="Verdana" w:hAnsi="Verdana"/>
                <w:color w:val="000000"/>
                <w:sz w:val="20"/>
                <w:szCs w:val="20"/>
                <w:lang w:val="pt-BR"/>
              </w:rPr>
              <w:t>Validade mínima de 04 meses</w:t>
            </w:r>
            <w:r>
              <w:rPr>
                <w:rFonts w:ascii="Verdana" w:hAnsi="Verdana"/>
                <w:color w:val="000000"/>
                <w:spacing w:val="-43"/>
                <w:sz w:val="20"/>
                <w:szCs w:val="20"/>
                <w:lang w:val="pt-BR"/>
              </w:rPr>
              <w:t xml:space="preserve"> </w:t>
            </w:r>
            <w:r>
              <w:rPr>
                <w:rFonts w:ascii="Verdana" w:hAnsi="Verdana"/>
                <w:color w:val="000000"/>
                <w:sz w:val="20"/>
                <w:szCs w:val="20"/>
                <w:lang w:val="pt-BR"/>
              </w:rPr>
              <w:t>após a 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140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R$ 16,65</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R$ 2.331,00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15</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Feijão – leguminosa variedade: feijão Preto tipo: tipo 1, isento de fragmentos</w:t>
            </w:r>
            <w:r>
              <w:rPr>
                <w:rFonts w:ascii="Verdana" w:hAnsi="Verdana"/>
                <w:color w:val="000000"/>
                <w:spacing w:val="1"/>
                <w:sz w:val="20"/>
                <w:szCs w:val="20"/>
                <w:lang w:val="pt-BR"/>
              </w:rPr>
              <w:t xml:space="preserve"> </w:t>
            </w:r>
            <w:r>
              <w:rPr>
                <w:rFonts w:ascii="Verdana" w:hAnsi="Verdana"/>
                <w:color w:val="000000"/>
                <w:sz w:val="20"/>
                <w:szCs w:val="20"/>
                <w:lang w:val="pt-BR"/>
              </w:rPr>
              <w:t>estranhos, parasitas e detritos;</w:t>
            </w:r>
            <w:r>
              <w:rPr>
                <w:rFonts w:ascii="Verdana" w:hAnsi="Verdana"/>
                <w:color w:val="000000"/>
                <w:spacing w:val="1"/>
                <w:sz w:val="20"/>
                <w:szCs w:val="20"/>
                <w:lang w:val="pt-BR"/>
              </w:rPr>
              <w:t xml:space="preserve"> </w:t>
            </w:r>
            <w:r>
              <w:rPr>
                <w:rFonts w:ascii="Verdana" w:hAnsi="Verdana"/>
                <w:color w:val="000000"/>
                <w:sz w:val="20"/>
                <w:szCs w:val="20"/>
                <w:lang w:val="pt-BR"/>
              </w:rPr>
              <w:t>acondicionado em embalagem plástica</w:t>
            </w:r>
            <w:r>
              <w:rPr>
                <w:rFonts w:ascii="Verdana" w:hAnsi="Verdana"/>
                <w:color w:val="000000"/>
                <w:spacing w:val="1"/>
                <w:sz w:val="20"/>
                <w:szCs w:val="20"/>
                <w:lang w:val="pt-BR"/>
              </w:rPr>
              <w:t xml:space="preserve"> </w:t>
            </w:r>
            <w:r>
              <w:rPr>
                <w:rFonts w:ascii="Verdana" w:hAnsi="Verdana"/>
                <w:color w:val="000000"/>
                <w:sz w:val="20"/>
                <w:szCs w:val="20"/>
                <w:lang w:val="pt-BR"/>
              </w:rPr>
              <w:t>original com 01 kg. Validade mínima de 04</w:t>
            </w:r>
            <w:r>
              <w:rPr>
                <w:rFonts w:ascii="Verdana" w:hAnsi="Verdana"/>
                <w:color w:val="000000"/>
                <w:spacing w:val="-43"/>
                <w:sz w:val="20"/>
                <w:szCs w:val="20"/>
                <w:lang w:val="pt-BR"/>
              </w:rPr>
              <w:t xml:space="preserve"> </w:t>
            </w:r>
            <w:r>
              <w:rPr>
                <w:rFonts w:ascii="Verdana" w:hAnsi="Verdana"/>
                <w:color w:val="000000"/>
                <w:sz w:val="20"/>
                <w:szCs w:val="20"/>
                <w:lang w:val="pt-BR"/>
              </w:rPr>
              <w:t>meses após a 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R$ 8,15</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R$ 1.304,00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16</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Leite em pó fortificado, com ferro, Vitaminas c, a, d, com 400gr origem: De vaca</w:t>
            </w:r>
            <w:r>
              <w:rPr>
                <w:rFonts w:ascii="Verdana" w:hAnsi="Verdana"/>
                <w:color w:val="000000"/>
                <w:spacing w:val="1"/>
                <w:sz w:val="20"/>
                <w:szCs w:val="20"/>
                <w:lang w:val="pt-BR"/>
              </w:rPr>
              <w:t xml:space="preserve"> </w:t>
            </w:r>
            <w:r>
              <w:rPr>
                <w:rFonts w:ascii="Verdana" w:hAnsi="Verdana"/>
                <w:color w:val="000000"/>
                <w:sz w:val="20"/>
                <w:szCs w:val="20"/>
                <w:lang w:val="pt-BR"/>
              </w:rPr>
              <w:t>teor gordura: integral solubilidade:</w:t>
            </w:r>
            <w:r>
              <w:rPr>
                <w:rFonts w:ascii="Verdana" w:hAnsi="Verdana"/>
                <w:color w:val="000000"/>
                <w:spacing w:val="-43"/>
                <w:sz w:val="20"/>
                <w:szCs w:val="20"/>
                <w:lang w:val="pt-BR"/>
              </w:rPr>
              <w:t xml:space="preserve"> </w:t>
            </w:r>
            <w:r>
              <w:rPr>
                <w:rFonts w:ascii="Verdana" w:hAnsi="Verdana"/>
                <w:color w:val="000000"/>
                <w:sz w:val="20"/>
                <w:szCs w:val="20"/>
                <w:lang w:val="pt-BR"/>
              </w:rPr>
              <w:t>não instantâneo</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R$ 23,26</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R$ 3.721,60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17</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Margarina cremosa, com sal, sem Glúten</w:t>
            </w:r>
            <w:r>
              <w:rPr>
                <w:rFonts w:ascii="Verdana" w:hAnsi="Verdana"/>
                <w:color w:val="000000"/>
                <w:spacing w:val="1"/>
                <w:sz w:val="20"/>
                <w:szCs w:val="20"/>
                <w:lang w:val="pt-BR"/>
              </w:rPr>
              <w:t xml:space="preserve"> </w:t>
            </w:r>
            <w:r>
              <w:rPr>
                <w:rFonts w:ascii="Verdana" w:hAnsi="Verdana"/>
                <w:color w:val="000000"/>
                <w:sz w:val="20"/>
                <w:szCs w:val="20"/>
                <w:lang w:val="pt-BR"/>
              </w:rPr>
              <w:t>com 80% de lipídios, pote c/</w:t>
            </w:r>
            <w:r>
              <w:rPr>
                <w:rFonts w:ascii="Verdana" w:hAnsi="Verdana"/>
                <w:color w:val="000000"/>
                <w:spacing w:val="-43"/>
                <w:sz w:val="20"/>
                <w:szCs w:val="20"/>
                <w:lang w:val="pt-BR"/>
              </w:rPr>
              <w:t xml:space="preserve"> </w:t>
            </w:r>
            <w:r>
              <w:rPr>
                <w:rFonts w:ascii="Verdana" w:hAnsi="Verdana"/>
                <w:color w:val="000000"/>
                <w:sz w:val="20"/>
                <w:szCs w:val="20"/>
                <w:lang w:val="pt-BR"/>
              </w:rPr>
              <w:t>500 gr, isenta de ranço e gordura Vegetal tipo: margarina subtipo: cremosa</w:t>
            </w:r>
            <w:r>
              <w:rPr>
                <w:rFonts w:ascii="Verdana" w:hAnsi="Verdana"/>
                <w:color w:val="000000"/>
                <w:spacing w:val="1"/>
                <w:sz w:val="20"/>
                <w:szCs w:val="20"/>
                <w:lang w:val="pt-BR"/>
              </w:rPr>
              <w:t xml:space="preserve"> </w:t>
            </w:r>
            <w:r>
              <w:rPr>
                <w:rFonts w:ascii="Verdana" w:hAnsi="Verdana"/>
                <w:color w:val="000000"/>
                <w:sz w:val="20"/>
                <w:szCs w:val="20"/>
                <w:lang w:val="pt-BR"/>
              </w:rPr>
              <w:t>composição básica: mínimo de 80% de</w:t>
            </w:r>
            <w:r>
              <w:rPr>
                <w:rFonts w:ascii="Verdana" w:hAnsi="Verdana"/>
                <w:color w:val="000000"/>
                <w:spacing w:val="1"/>
                <w:sz w:val="20"/>
                <w:szCs w:val="20"/>
                <w:lang w:val="pt-BR"/>
              </w:rPr>
              <w:t xml:space="preserve"> </w:t>
            </w:r>
            <w:r>
              <w:rPr>
                <w:rFonts w:ascii="Verdana" w:hAnsi="Verdana"/>
                <w:color w:val="000000"/>
                <w:sz w:val="20"/>
                <w:szCs w:val="20"/>
                <w:lang w:val="pt-BR"/>
              </w:rPr>
              <w:t>gordura</w:t>
            </w:r>
            <w:r>
              <w:rPr>
                <w:rFonts w:ascii="Verdana" w:hAnsi="Verdana"/>
                <w:color w:val="000000"/>
                <w:spacing w:val="-3"/>
                <w:sz w:val="20"/>
                <w:szCs w:val="20"/>
                <w:lang w:val="pt-BR"/>
              </w:rPr>
              <w:t xml:space="preserve"> </w:t>
            </w:r>
            <w:r>
              <w:rPr>
                <w:rFonts w:ascii="Verdana" w:hAnsi="Verdana"/>
                <w:color w:val="000000"/>
                <w:sz w:val="20"/>
                <w:szCs w:val="20"/>
                <w:lang w:val="pt-BR"/>
              </w:rPr>
              <w:t>sabor:</w:t>
            </w:r>
            <w:r>
              <w:rPr>
                <w:rFonts w:ascii="Verdana" w:hAnsi="Verdana"/>
                <w:color w:val="000000"/>
                <w:spacing w:val="-3"/>
                <w:sz w:val="20"/>
                <w:szCs w:val="20"/>
                <w:lang w:val="pt-BR"/>
              </w:rPr>
              <w:t xml:space="preserve"> </w:t>
            </w:r>
            <w:r>
              <w:rPr>
                <w:rFonts w:ascii="Verdana" w:hAnsi="Verdana"/>
                <w:color w:val="000000"/>
                <w:sz w:val="20"/>
                <w:szCs w:val="20"/>
                <w:lang w:val="pt-BR"/>
              </w:rPr>
              <w:t>com</w:t>
            </w:r>
            <w:r>
              <w:rPr>
                <w:rFonts w:ascii="Verdana" w:hAnsi="Verdana"/>
                <w:color w:val="000000"/>
                <w:spacing w:val="-2"/>
                <w:sz w:val="20"/>
                <w:szCs w:val="20"/>
                <w:lang w:val="pt-BR"/>
              </w:rPr>
              <w:t xml:space="preserve"> </w:t>
            </w:r>
            <w:r>
              <w:rPr>
                <w:rFonts w:ascii="Verdana" w:hAnsi="Verdana"/>
                <w:color w:val="000000"/>
                <w:sz w:val="20"/>
                <w:szCs w:val="20"/>
                <w:lang w:val="pt-BR"/>
              </w:rPr>
              <w:t>sal</w:t>
            </w:r>
            <w:r>
              <w:rPr>
                <w:rFonts w:ascii="Verdana" w:hAnsi="Verdana"/>
                <w:color w:val="000000"/>
                <w:spacing w:val="-3"/>
                <w:sz w:val="20"/>
                <w:szCs w:val="20"/>
                <w:lang w:val="pt-BR"/>
              </w:rPr>
              <w:t xml:space="preserve"> </w:t>
            </w:r>
            <w:r>
              <w:rPr>
                <w:rFonts w:ascii="Verdana" w:hAnsi="Verdana"/>
                <w:color w:val="000000"/>
                <w:sz w:val="20"/>
                <w:szCs w:val="20"/>
                <w:lang w:val="pt-BR"/>
              </w:rPr>
              <w:t>validade</w:t>
            </w:r>
            <w:r>
              <w:rPr>
                <w:rFonts w:ascii="Verdana" w:hAnsi="Verdana"/>
                <w:color w:val="000000"/>
                <w:spacing w:val="-3"/>
                <w:sz w:val="20"/>
                <w:szCs w:val="20"/>
                <w:lang w:val="pt-BR"/>
              </w:rPr>
              <w:t xml:space="preserve"> </w:t>
            </w:r>
            <w:r>
              <w:rPr>
                <w:rFonts w:ascii="Verdana" w:hAnsi="Verdana"/>
                <w:color w:val="000000"/>
                <w:sz w:val="20"/>
                <w:szCs w:val="20"/>
                <w:lang w:val="pt-BR"/>
              </w:rPr>
              <w:t>mínima</w:t>
            </w:r>
            <w:r>
              <w:rPr>
                <w:rFonts w:ascii="Verdana" w:hAnsi="Verdana"/>
                <w:color w:val="000000"/>
                <w:spacing w:val="-2"/>
                <w:sz w:val="20"/>
                <w:szCs w:val="20"/>
                <w:lang w:val="pt-BR"/>
              </w:rPr>
              <w:t xml:space="preserve"> </w:t>
            </w:r>
            <w:r>
              <w:rPr>
                <w:rFonts w:ascii="Verdana" w:hAnsi="Verdana"/>
                <w:color w:val="000000"/>
                <w:sz w:val="20"/>
                <w:szCs w:val="20"/>
                <w:lang w:val="pt-BR"/>
              </w:rPr>
              <w:t>de</w:t>
            </w:r>
          </w:p>
          <w:p>
            <w:pPr>
              <w:pStyle w:val="TableParagraph"/>
              <w:spacing w:lineRule="auto" w:line="276" w:before="0" w:after="0"/>
              <w:ind w:left="0" w:right="0"/>
              <w:jc w:val="both"/>
              <w:rPr>
                <w:lang w:val="pt-BR"/>
              </w:rPr>
            </w:pPr>
            <w:r>
              <w:rPr>
                <w:rFonts w:ascii="Verdana" w:hAnsi="Verdana"/>
                <w:color w:val="000000"/>
                <w:sz w:val="20"/>
                <w:szCs w:val="20"/>
                <w:lang w:val="pt-BR"/>
              </w:rPr>
              <w:t>5 meses após a 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POTE</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R$ 8,76</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R$ 525,60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18</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Sal refinado tipo: refinado aplicação: Alimentícia características adicionais: teor</w:t>
            </w:r>
            <w:r>
              <w:rPr>
                <w:rFonts w:ascii="Verdana" w:hAnsi="Verdana"/>
                <w:color w:val="000000"/>
                <w:spacing w:val="-43"/>
                <w:sz w:val="20"/>
                <w:szCs w:val="20"/>
                <w:lang w:val="pt-BR"/>
              </w:rPr>
              <w:t xml:space="preserve"> </w:t>
            </w:r>
            <w:r>
              <w:rPr>
                <w:rFonts w:ascii="Verdana" w:hAnsi="Verdana"/>
                <w:color w:val="000000"/>
                <w:sz w:val="20"/>
                <w:szCs w:val="20"/>
                <w:lang w:val="pt-BR"/>
              </w:rPr>
              <w:t>mínimo cloreto de sódio 98,5%</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48</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R$ 1,56</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R$ 74,88</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19</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Coco ralado desidratado, pct c</w:t>
            </w:r>
          </w:p>
          <w:p>
            <w:pPr>
              <w:pStyle w:val="TableParagraph"/>
              <w:spacing w:lineRule="auto" w:line="276" w:before="0" w:after="0"/>
              <w:ind w:left="0" w:right="0"/>
              <w:jc w:val="both"/>
              <w:rPr>
                <w:lang w:val="pt-BR"/>
              </w:rPr>
            </w:pPr>
            <w:r>
              <w:rPr>
                <w:rFonts w:ascii="Verdana" w:hAnsi="Verdana"/>
                <w:color w:val="000000"/>
                <w:sz w:val="20"/>
                <w:szCs w:val="20"/>
                <w:lang w:val="pt-BR"/>
              </w:rPr>
              <w:t>100gr ingredientes: amêndoa-de-coco</w:t>
            </w:r>
            <w:r>
              <w:rPr>
                <w:rFonts w:ascii="Verdana" w:hAnsi="Verdana"/>
                <w:color w:val="000000"/>
                <w:spacing w:val="1"/>
                <w:sz w:val="20"/>
                <w:szCs w:val="20"/>
                <w:lang w:val="pt-BR"/>
              </w:rPr>
              <w:t xml:space="preserve"> </w:t>
            </w:r>
            <w:r>
              <w:rPr>
                <w:rFonts w:ascii="Verdana" w:hAnsi="Verdana"/>
                <w:color w:val="000000"/>
                <w:sz w:val="20"/>
                <w:szCs w:val="20"/>
                <w:lang w:val="pt-BR"/>
              </w:rPr>
              <w:t>apresentação: desidratado e triturado</w:t>
            </w:r>
            <w:r>
              <w:rPr>
                <w:rFonts w:ascii="Verdana" w:hAnsi="Verdana"/>
                <w:color w:val="000000"/>
                <w:spacing w:val="1"/>
                <w:sz w:val="20"/>
                <w:szCs w:val="20"/>
                <w:lang w:val="pt-BR"/>
              </w:rPr>
              <w:t xml:space="preserve"> </w:t>
            </w:r>
            <w:r>
              <w:rPr>
                <w:rFonts w:ascii="Verdana" w:hAnsi="Verdana"/>
                <w:color w:val="000000"/>
                <w:sz w:val="20"/>
                <w:szCs w:val="20"/>
                <w:lang w:val="pt-BR"/>
              </w:rPr>
              <w:t>características adicionais: desengordurado</w:t>
            </w:r>
            <w:r>
              <w:rPr>
                <w:rFonts w:ascii="Verdana" w:hAnsi="Verdana"/>
                <w:color w:val="000000"/>
                <w:spacing w:val="-43"/>
                <w:sz w:val="20"/>
                <w:szCs w:val="20"/>
                <w:lang w:val="pt-BR"/>
              </w:rPr>
              <w:t xml:space="preserve"> </w:t>
            </w:r>
            <w:r>
              <w:rPr>
                <w:rFonts w:ascii="Verdana" w:hAnsi="Verdana"/>
                <w:color w:val="000000"/>
                <w:sz w:val="20"/>
                <w:szCs w:val="20"/>
                <w:lang w:val="pt-BR"/>
              </w:rPr>
              <w:t>e desidratado aplicação: alimentação de</w:t>
            </w:r>
            <w:r>
              <w:rPr>
                <w:rFonts w:ascii="Verdana" w:hAnsi="Verdana"/>
                <w:color w:val="000000"/>
                <w:spacing w:val="1"/>
                <w:sz w:val="20"/>
                <w:szCs w:val="20"/>
                <w:lang w:val="pt-BR"/>
              </w:rPr>
              <w:t xml:space="preserve"> </w:t>
            </w:r>
            <w:r>
              <w:rPr>
                <w:rFonts w:ascii="Verdana" w:hAnsi="Verdana"/>
                <w:color w:val="000000"/>
                <w:sz w:val="20"/>
                <w:szCs w:val="20"/>
                <w:lang w:val="pt-BR"/>
              </w:rPr>
              <w:t>pessoal</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48</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R$ 5,44</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R$ 261,12</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20</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Bicarbonato de sódio, pacote com 200 gramas aspecto físico: pó branco,</w:t>
            </w:r>
            <w:r>
              <w:rPr>
                <w:rFonts w:ascii="Verdana" w:hAnsi="Verdana"/>
                <w:color w:val="000000"/>
                <w:spacing w:val="1"/>
                <w:sz w:val="20"/>
                <w:szCs w:val="20"/>
                <w:lang w:val="pt-BR"/>
              </w:rPr>
              <w:t xml:space="preserve"> </w:t>
            </w:r>
            <w:r>
              <w:rPr>
                <w:rFonts w:ascii="Verdana" w:hAnsi="Verdana"/>
                <w:color w:val="000000"/>
                <w:sz w:val="20"/>
                <w:szCs w:val="20"/>
                <w:lang w:val="pt-BR"/>
              </w:rPr>
              <w:t>fino</w:t>
            </w:r>
            <w:r>
              <w:rPr>
                <w:rFonts w:ascii="Verdana" w:hAnsi="Verdana"/>
                <w:color w:val="000000"/>
                <w:spacing w:val="-4"/>
                <w:sz w:val="20"/>
                <w:szCs w:val="20"/>
                <w:lang w:val="pt-BR"/>
              </w:rPr>
              <w:t xml:space="preserve"> </w:t>
            </w:r>
            <w:r>
              <w:rPr>
                <w:rFonts w:ascii="Verdana" w:hAnsi="Verdana"/>
                <w:color w:val="000000"/>
                <w:sz w:val="20"/>
                <w:szCs w:val="20"/>
                <w:lang w:val="pt-BR"/>
              </w:rPr>
              <w:t>composição:</w:t>
            </w:r>
            <w:r>
              <w:rPr>
                <w:rFonts w:ascii="Verdana" w:hAnsi="Verdana"/>
                <w:color w:val="000000"/>
                <w:spacing w:val="-4"/>
                <w:sz w:val="20"/>
                <w:szCs w:val="20"/>
                <w:lang w:val="pt-BR"/>
              </w:rPr>
              <w:t xml:space="preserve"> </w:t>
            </w:r>
            <w:r>
              <w:rPr>
                <w:rFonts w:ascii="Verdana" w:hAnsi="Verdana"/>
                <w:color w:val="000000"/>
                <w:sz w:val="20"/>
                <w:szCs w:val="20"/>
                <w:lang w:val="pt-BR"/>
              </w:rPr>
              <w:t>nahco3</w:t>
            </w:r>
            <w:r>
              <w:rPr>
                <w:rFonts w:ascii="Verdana" w:hAnsi="Verdana"/>
                <w:color w:val="000000"/>
                <w:spacing w:val="-4"/>
                <w:sz w:val="20"/>
                <w:szCs w:val="20"/>
                <w:lang w:val="pt-BR"/>
              </w:rPr>
              <w:t xml:space="preserve"> </w:t>
            </w:r>
            <w:r>
              <w:rPr>
                <w:rFonts w:ascii="Verdana" w:hAnsi="Verdana"/>
                <w:color w:val="000000"/>
                <w:sz w:val="20"/>
                <w:szCs w:val="20"/>
                <w:lang w:val="pt-BR"/>
              </w:rPr>
              <w:t>pureza</w:t>
            </w:r>
            <w:r>
              <w:rPr>
                <w:rFonts w:ascii="Verdana" w:hAnsi="Verdana"/>
                <w:color w:val="000000"/>
                <w:spacing w:val="-4"/>
                <w:sz w:val="20"/>
                <w:szCs w:val="20"/>
                <w:lang w:val="pt-BR"/>
              </w:rPr>
              <w:t xml:space="preserve"> </w:t>
            </w:r>
            <w:r>
              <w:rPr>
                <w:rFonts w:ascii="Verdana" w:hAnsi="Verdana"/>
                <w:color w:val="000000"/>
                <w:sz w:val="20"/>
                <w:szCs w:val="20"/>
                <w:lang w:val="pt-BR"/>
              </w:rPr>
              <w:t>mínima:</w:t>
            </w:r>
          </w:p>
          <w:p>
            <w:pPr>
              <w:pStyle w:val="TableParagraph"/>
              <w:spacing w:lineRule="auto" w:line="276" w:before="0" w:after="0"/>
              <w:ind w:left="0" w:right="0"/>
              <w:jc w:val="both"/>
              <w:rPr>
                <w:lang w:val="pt-BR"/>
              </w:rPr>
            </w:pPr>
            <w:r>
              <w:rPr>
                <w:rFonts w:ascii="Verdana" w:hAnsi="Verdana"/>
                <w:color w:val="000000"/>
                <w:sz w:val="20"/>
                <w:szCs w:val="20"/>
                <w:lang w:val="pt-BR"/>
              </w:rPr>
              <w:t>Teor de pureza mínima 99,5% peso Molecular: 84,01 g/mol número de</w:t>
            </w:r>
            <w:r>
              <w:rPr>
                <w:rFonts w:ascii="Verdana" w:hAnsi="Verdana"/>
                <w:color w:val="000000"/>
                <w:spacing w:val="-43"/>
                <w:sz w:val="20"/>
                <w:szCs w:val="20"/>
                <w:lang w:val="pt-BR"/>
              </w:rPr>
              <w:t xml:space="preserve"> </w:t>
            </w:r>
            <w:r>
              <w:rPr>
                <w:rFonts w:ascii="Verdana" w:hAnsi="Verdana"/>
                <w:color w:val="000000"/>
                <w:sz w:val="20"/>
                <w:szCs w:val="20"/>
                <w:lang w:val="pt-BR"/>
              </w:rPr>
              <w:t>referência química: cas 144-55-8</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EMB</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12</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R$ 10,76</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R$ 129,12</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21</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Chocolate em pó chocolate tipo: preto Apresentação: pó sabor: tradicional</w:t>
            </w:r>
            <w:r>
              <w:rPr>
                <w:rFonts w:ascii="Verdana" w:hAnsi="Verdana"/>
                <w:color w:val="000000"/>
                <w:spacing w:val="1"/>
                <w:sz w:val="20"/>
                <w:szCs w:val="20"/>
                <w:lang w:val="pt-BR"/>
              </w:rPr>
              <w:t xml:space="preserve"> </w:t>
            </w:r>
            <w:r>
              <w:rPr>
                <w:rFonts w:ascii="Verdana" w:hAnsi="Verdana"/>
                <w:color w:val="000000"/>
                <w:sz w:val="20"/>
                <w:szCs w:val="20"/>
                <w:lang w:val="pt-BR"/>
              </w:rPr>
              <w:t>característica</w:t>
            </w:r>
            <w:r>
              <w:rPr>
                <w:rFonts w:ascii="Verdana" w:hAnsi="Verdana"/>
                <w:color w:val="000000"/>
                <w:spacing w:val="-4"/>
                <w:sz w:val="20"/>
                <w:szCs w:val="20"/>
                <w:lang w:val="pt-BR"/>
              </w:rPr>
              <w:t xml:space="preserve"> </w:t>
            </w:r>
            <w:r>
              <w:rPr>
                <w:rFonts w:ascii="Verdana" w:hAnsi="Verdana"/>
                <w:color w:val="000000"/>
                <w:sz w:val="20"/>
                <w:szCs w:val="20"/>
                <w:lang w:val="pt-BR"/>
              </w:rPr>
              <w:t>adicional:</w:t>
            </w:r>
            <w:r>
              <w:rPr>
                <w:rFonts w:ascii="Verdana" w:hAnsi="Verdana"/>
                <w:color w:val="000000"/>
                <w:spacing w:val="-4"/>
                <w:sz w:val="20"/>
                <w:szCs w:val="20"/>
                <w:lang w:val="pt-BR"/>
              </w:rPr>
              <w:t xml:space="preserve"> </w:t>
            </w:r>
            <w:r>
              <w:rPr>
                <w:rFonts w:ascii="Verdana" w:hAnsi="Verdana"/>
                <w:color w:val="000000"/>
                <w:sz w:val="20"/>
                <w:szCs w:val="20"/>
                <w:lang w:val="pt-BR"/>
              </w:rPr>
              <w:t>50</w:t>
            </w:r>
            <w:r>
              <w:rPr>
                <w:rFonts w:ascii="Verdana" w:hAnsi="Verdana"/>
                <w:color w:val="000000"/>
                <w:spacing w:val="-4"/>
                <w:sz w:val="20"/>
                <w:szCs w:val="20"/>
                <w:lang w:val="pt-BR"/>
              </w:rPr>
              <w:t xml:space="preserve"> </w:t>
            </w:r>
            <w:r>
              <w:rPr>
                <w:rFonts w:ascii="Verdana" w:hAnsi="Verdana"/>
                <w:color w:val="000000"/>
                <w:sz w:val="20"/>
                <w:szCs w:val="20"/>
                <w:lang w:val="pt-BR"/>
              </w:rPr>
              <w:t>%</w:t>
            </w:r>
            <w:r>
              <w:rPr>
                <w:rFonts w:ascii="Verdana" w:hAnsi="Verdana"/>
                <w:color w:val="000000"/>
                <w:spacing w:val="-4"/>
                <w:sz w:val="20"/>
                <w:szCs w:val="20"/>
                <w:lang w:val="pt-BR"/>
              </w:rPr>
              <w:t xml:space="preserve"> </w:t>
            </w:r>
            <w:r>
              <w:rPr>
                <w:rFonts w:ascii="Verdana" w:hAnsi="Verdana"/>
                <w:color w:val="000000"/>
                <w:sz w:val="20"/>
                <w:szCs w:val="20"/>
                <w:lang w:val="pt-BR"/>
              </w:rPr>
              <w:t>cacau 250 grama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R$ 14,43</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R$ 144,30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22</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Mariola com 50 und – 01 kg doce não Confeitado tipo: massa sabor: banana</w:t>
            </w:r>
            <w:r>
              <w:rPr>
                <w:rFonts w:ascii="Verdana" w:hAnsi="Verdana"/>
                <w:color w:val="000000"/>
                <w:spacing w:val="-43"/>
                <w:sz w:val="20"/>
                <w:szCs w:val="20"/>
                <w:lang w:val="pt-BR"/>
              </w:rPr>
              <w:t xml:space="preserve"> </w:t>
            </w:r>
            <w:r>
              <w:rPr>
                <w:rFonts w:ascii="Verdana" w:hAnsi="Verdana"/>
                <w:color w:val="000000"/>
                <w:sz w:val="20"/>
                <w:szCs w:val="20"/>
                <w:lang w:val="pt-BR"/>
              </w:rPr>
              <w:t>forma apresentação: tablete</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48</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R$ 20,19</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R$ 969,12</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23</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Requeijão cremoso requeijão</w:t>
            </w:r>
          </w:p>
          <w:p>
            <w:pPr>
              <w:pStyle w:val="TableParagraph"/>
              <w:spacing w:lineRule="auto" w:line="276" w:before="0" w:after="0"/>
              <w:ind w:left="0" w:right="0"/>
              <w:jc w:val="both"/>
              <w:rPr>
                <w:lang w:val="pt-BR"/>
              </w:rPr>
            </w:pPr>
            <w:r>
              <w:rPr>
                <w:rFonts w:ascii="Verdana" w:hAnsi="Verdana"/>
                <w:color w:val="000000"/>
                <w:sz w:val="20"/>
                <w:szCs w:val="20"/>
                <w:lang w:val="pt-BR"/>
              </w:rPr>
              <w:t>Ingredientes: creme de leite tipo: integral</w:t>
            </w:r>
            <w:r>
              <w:rPr>
                <w:rFonts w:ascii="Verdana" w:hAnsi="Verdana"/>
                <w:color w:val="000000"/>
                <w:spacing w:val="-43"/>
                <w:sz w:val="20"/>
                <w:szCs w:val="20"/>
                <w:lang w:val="pt-BR"/>
              </w:rPr>
              <w:t xml:space="preserve"> </w:t>
            </w:r>
            <w:r>
              <w:rPr>
                <w:rFonts w:ascii="Verdana" w:hAnsi="Verdana"/>
                <w:color w:val="000000"/>
                <w:sz w:val="20"/>
                <w:szCs w:val="20"/>
                <w:lang w:val="pt-BR"/>
              </w:rPr>
              <w:t>conservação: 1 a 10 °c características Adicionais: cremoso pote 360 gramas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POTE</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96</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R$ 13,36</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R$ 1.282,56</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24</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Cereal infantil multicereais</w:t>
            </w:r>
          </w:p>
          <w:p>
            <w:pPr>
              <w:pStyle w:val="TableParagraph"/>
              <w:spacing w:lineRule="auto" w:line="276" w:before="0" w:after="0"/>
              <w:ind w:left="0" w:right="0"/>
              <w:jc w:val="both"/>
              <w:rPr>
                <w:lang w:val="pt-BR"/>
              </w:rPr>
            </w:pPr>
            <w:r>
              <w:rPr>
                <w:rFonts w:ascii="Verdana" w:hAnsi="Verdana"/>
                <w:color w:val="000000"/>
                <w:sz w:val="20"/>
                <w:szCs w:val="20"/>
                <w:lang w:val="pt-BR"/>
              </w:rPr>
              <w:t>Pré-cozido, composto por: farinha</w:t>
            </w:r>
            <w:r>
              <w:rPr>
                <w:rFonts w:ascii="Verdana" w:hAnsi="Verdana"/>
                <w:color w:val="000000"/>
                <w:spacing w:val="-43"/>
                <w:sz w:val="20"/>
                <w:szCs w:val="20"/>
                <w:lang w:val="pt-BR"/>
              </w:rPr>
              <w:t xml:space="preserve"> </w:t>
            </w:r>
            <w:r>
              <w:rPr>
                <w:rFonts w:ascii="Verdana" w:hAnsi="Verdana"/>
                <w:color w:val="000000"/>
                <w:sz w:val="20"/>
                <w:szCs w:val="20"/>
                <w:lang w:val="pt-BR"/>
              </w:rPr>
              <w:t>de trigo enriquecida com ferro e Ácido fólico, açúcar, farinha de milho</w:t>
            </w:r>
            <w:r>
              <w:rPr>
                <w:rFonts w:ascii="Verdana" w:hAnsi="Verdana"/>
                <w:color w:val="000000"/>
                <w:spacing w:val="1"/>
                <w:sz w:val="20"/>
                <w:szCs w:val="20"/>
                <w:lang w:val="pt-BR"/>
              </w:rPr>
              <w:t xml:space="preserve"> </w:t>
            </w:r>
            <w:r>
              <w:rPr>
                <w:rFonts w:ascii="Verdana" w:hAnsi="Verdana"/>
                <w:color w:val="000000"/>
                <w:sz w:val="20"/>
                <w:szCs w:val="20"/>
                <w:lang w:val="pt-BR"/>
              </w:rPr>
              <w:t>enriquecida com ferro e ácido fólico,</w:t>
            </w:r>
            <w:r>
              <w:rPr>
                <w:rFonts w:ascii="Verdana" w:hAnsi="Verdana"/>
                <w:color w:val="000000"/>
                <w:spacing w:val="1"/>
                <w:sz w:val="20"/>
                <w:szCs w:val="20"/>
                <w:lang w:val="pt-BR"/>
              </w:rPr>
              <w:t xml:space="preserve"> </w:t>
            </w:r>
            <w:r>
              <w:rPr>
                <w:rFonts w:ascii="Verdana" w:hAnsi="Verdana"/>
                <w:color w:val="000000"/>
                <w:sz w:val="20"/>
                <w:szCs w:val="20"/>
                <w:lang w:val="pt-BR"/>
              </w:rPr>
              <w:t>farinha de arroz, sais minerais (carbonato</w:t>
            </w:r>
            <w:r>
              <w:rPr>
                <w:rFonts w:ascii="Verdana" w:hAnsi="Verdana"/>
                <w:color w:val="000000"/>
                <w:spacing w:val="1"/>
                <w:sz w:val="20"/>
                <w:szCs w:val="20"/>
                <w:lang w:val="pt-BR"/>
              </w:rPr>
              <w:t xml:space="preserve"> </w:t>
            </w:r>
            <w:r>
              <w:rPr>
                <w:rFonts w:ascii="Verdana" w:hAnsi="Verdana"/>
                <w:color w:val="000000"/>
                <w:sz w:val="20"/>
                <w:szCs w:val="20"/>
                <w:lang w:val="pt-BR"/>
              </w:rPr>
              <w:t>de cálcio, fosfato de sódio dibásico,</w:t>
            </w:r>
            <w:r>
              <w:rPr>
                <w:rFonts w:ascii="Verdana" w:hAnsi="Verdana"/>
                <w:color w:val="000000"/>
                <w:spacing w:val="1"/>
                <w:sz w:val="20"/>
                <w:szCs w:val="20"/>
                <w:lang w:val="pt-BR"/>
              </w:rPr>
              <w:t xml:space="preserve"> </w:t>
            </w:r>
            <w:r>
              <w:rPr>
                <w:rFonts w:ascii="Verdana" w:hAnsi="Verdana"/>
                <w:color w:val="000000"/>
                <w:sz w:val="20"/>
                <w:szCs w:val="20"/>
                <w:lang w:val="pt-BR"/>
              </w:rPr>
              <w:t>fumarato ferroso, sulfato de zinco),</w:t>
            </w:r>
            <w:r>
              <w:rPr>
                <w:rFonts w:ascii="Verdana" w:hAnsi="Verdana"/>
                <w:color w:val="000000"/>
                <w:spacing w:val="1"/>
                <w:sz w:val="20"/>
                <w:szCs w:val="20"/>
                <w:lang w:val="pt-BR"/>
              </w:rPr>
              <w:t xml:space="preserve"> </w:t>
            </w:r>
            <w:r>
              <w:rPr>
                <w:rFonts w:ascii="Verdana" w:hAnsi="Verdana"/>
                <w:color w:val="000000"/>
                <w:sz w:val="20"/>
                <w:szCs w:val="20"/>
                <w:lang w:val="pt-BR"/>
              </w:rPr>
              <w:t>vitaminas (vitamina c, niacina, vitamina e,</w:t>
            </w:r>
            <w:r>
              <w:rPr>
                <w:rFonts w:ascii="Verdana" w:hAnsi="Verdana"/>
                <w:color w:val="000000"/>
                <w:spacing w:val="1"/>
                <w:sz w:val="20"/>
                <w:szCs w:val="20"/>
                <w:lang w:val="pt-BR"/>
              </w:rPr>
              <w:t xml:space="preserve"> </w:t>
            </w:r>
            <w:r>
              <w:rPr>
                <w:rFonts w:ascii="Verdana" w:hAnsi="Verdana"/>
                <w:color w:val="000000"/>
                <w:sz w:val="20"/>
                <w:szCs w:val="20"/>
                <w:lang w:val="pt-BR"/>
              </w:rPr>
              <w:t>ácido pantotênico, vitamina a, vitamina b1,</w:t>
            </w:r>
            <w:r>
              <w:rPr>
                <w:rFonts w:ascii="Verdana" w:hAnsi="Verdana"/>
                <w:color w:val="000000"/>
                <w:spacing w:val="-43"/>
                <w:sz w:val="20"/>
                <w:szCs w:val="20"/>
                <w:lang w:val="pt-BR"/>
              </w:rPr>
              <w:t xml:space="preserve"> </w:t>
            </w:r>
            <w:r>
              <w:rPr>
                <w:rFonts w:ascii="Verdana" w:hAnsi="Verdana"/>
                <w:color w:val="000000"/>
                <w:sz w:val="20"/>
                <w:szCs w:val="20"/>
                <w:lang w:val="pt-BR"/>
              </w:rPr>
              <w:t>vitamina b6, ácido fólico, vitamina d),</w:t>
            </w:r>
            <w:r>
              <w:rPr>
                <w:rFonts w:ascii="Verdana" w:hAnsi="Verdana"/>
                <w:color w:val="000000"/>
                <w:spacing w:val="1"/>
                <w:sz w:val="20"/>
                <w:szCs w:val="20"/>
                <w:lang w:val="pt-BR"/>
              </w:rPr>
              <w:t xml:space="preserve"> </w:t>
            </w:r>
            <w:r>
              <w:rPr>
                <w:rFonts w:ascii="Verdana" w:hAnsi="Verdana"/>
                <w:color w:val="000000"/>
                <w:sz w:val="20"/>
                <w:szCs w:val="20"/>
                <w:lang w:val="pt-BR"/>
              </w:rPr>
              <w:t>probiótico e aromatizante vanilina.. pacote</w:t>
            </w:r>
            <w:r>
              <w:rPr>
                <w:rFonts w:ascii="Verdana" w:hAnsi="Verdana"/>
                <w:color w:val="000000"/>
                <w:spacing w:val="-42"/>
                <w:sz w:val="20"/>
                <w:szCs w:val="20"/>
                <w:lang w:val="pt-BR"/>
              </w:rPr>
              <w:t xml:space="preserve"> </w:t>
            </w:r>
            <w:r>
              <w:rPr>
                <w:rFonts w:ascii="Verdana" w:hAnsi="Verdana"/>
                <w:color w:val="000000"/>
                <w:sz w:val="20"/>
                <w:szCs w:val="20"/>
                <w:lang w:val="pt-BR"/>
              </w:rPr>
              <w:t>de 230 gramas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180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R$ 6,32</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R$ 1.137,60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25</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Biscoito de polvilho salgado de 200 Gramas biscoito sabor: água e sal tipo:</w:t>
            </w:r>
            <w:r>
              <w:rPr>
                <w:rFonts w:ascii="Verdana" w:hAnsi="Verdana"/>
                <w:color w:val="000000"/>
                <w:spacing w:val="1"/>
                <w:sz w:val="20"/>
                <w:szCs w:val="20"/>
                <w:lang w:val="pt-BR"/>
              </w:rPr>
              <w:t xml:space="preserve"> </w:t>
            </w:r>
            <w:r>
              <w:rPr>
                <w:rFonts w:ascii="Verdana" w:hAnsi="Verdana"/>
                <w:color w:val="000000"/>
                <w:sz w:val="20"/>
                <w:szCs w:val="20"/>
                <w:lang w:val="pt-BR"/>
              </w:rPr>
              <w:t>bambolê ingredientes: polvilho azedo, água,</w:t>
            </w:r>
            <w:r>
              <w:rPr>
                <w:rFonts w:ascii="Verdana" w:hAnsi="Verdana"/>
                <w:color w:val="000000"/>
                <w:spacing w:val="-43"/>
                <w:sz w:val="20"/>
                <w:szCs w:val="20"/>
                <w:lang w:val="pt-BR"/>
              </w:rPr>
              <w:t xml:space="preserve"> </w:t>
            </w:r>
            <w:r>
              <w:rPr>
                <w:rFonts w:ascii="Verdana" w:hAnsi="Verdana"/>
                <w:color w:val="000000"/>
                <w:sz w:val="20"/>
                <w:szCs w:val="20"/>
                <w:lang w:val="pt-BR"/>
              </w:rPr>
              <w:t>óleo, ovos e sal características adicionais: Assado</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UND</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300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R$ 9,13</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R$ 2.739,00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26</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Colorau, constituído de matéria</w:t>
            </w:r>
            <w:r>
              <w:rPr>
                <w:rFonts w:ascii="Verdana" w:hAnsi="Verdana"/>
                <w:color w:val="000000"/>
                <w:spacing w:val="1"/>
                <w:sz w:val="20"/>
                <w:szCs w:val="20"/>
                <w:lang w:val="pt-BR"/>
              </w:rPr>
              <w:t xml:space="preserve"> </w:t>
            </w:r>
            <w:r>
              <w:rPr>
                <w:rFonts w:ascii="Verdana" w:hAnsi="Verdana"/>
                <w:color w:val="000000"/>
                <w:sz w:val="20"/>
                <w:szCs w:val="20"/>
                <w:lang w:val="pt-BR"/>
              </w:rPr>
              <w:t>prima de boa qualidade, isento de</w:t>
            </w:r>
            <w:r>
              <w:rPr>
                <w:rFonts w:ascii="Verdana" w:hAnsi="Verdana"/>
                <w:color w:val="000000"/>
                <w:spacing w:val="-43"/>
                <w:sz w:val="20"/>
                <w:szCs w:val="20"/>
                <w:lang w:val="pt-BR"/>
              </w:rPr>
              <w:t xml:space="preserve"> </w:t>
            </w:r>
            <w:r>
              <w:rPr>
                <w:rFonts w:ascii="Verdana" w:hAnsi="Verdana"/>
                <w:color w:val="000000"/>
                <w:sz w:val="20"/>
                <w:szCs w:val="20"/>
                <w:lang w:val="pt-BR"/>
              </w:rPr>
              <w:t>fragmentos estranhos, pó Homogêneo, cor, cheiro e sabor</w:t>
            </w:r>
            <w:r>
              <w:rPr>
                <w:rFonts w:ascii="Verdana" w:hAnsi="Verdana"/>
                <w:color w:val="000000"/>
                <w:spacing w:val="1"/>
                <w:sz w:val="20"/>
                <w:szCs w:val="20"/>
                <w:lang w:val="pt-BR"/>
              </w:rPr>
              <w:t xml:space="preserve"> </w:t>
            </w:r>
            <w:r>
              <w:rPr>
                <w:rFonts w:ascii="Verdana" w:hAnsi="Verdana"/>
                <w:color w:val="000000"/>
                <w:sz w:val="20"/>
                <w:szCs w:val="20"/>
                <w:lang w:val="pt-BR"/>
              </w:rPr>
              <w:t>característico, contendo no máximo 10% de</w:t>
            </w:r>
            <w:r>
              <w:rPr>
                <w:rFonts w:ascii="Verdana" w:hAnsi="Verdana"/>
                <w:color w:val="000000"/>
                <w:spacing w:val="-43"/>
                <w:sz w:val="20"/>
                <w:szCs w:val="20"/>
                <w:lang w:val="pt-BR"/>
              </w:rPr>
              <w:t xml:space="preserve"> </w:t>
            </w:r>
            <w:r>
              <w:rPr>
                <w:rFonts w:ascii="Verdana" w:hAnsi="Verdana"/>
                <w:color w:val="000000"/>
                <w:sz w:val="20"/>
                <w:szCs w:val="20"/>
                <w:lang w:val="pt-BR"/>
              </w:rPr>
              <w:t>sal. Acondicionado em embalagem original Do fabricante em pct de 500 g. validade de</w:t>
            </w:r>
            <w:r>
              <w:rPr>
                <w:rFonts w:ascii="Verdana" w:hAnsi="Verdana"/>
                <w:color w:val="000000"/>
                <w:spacing w:val="1"/>
                <w:sz w:val="20"/>
                <w:szCs w:val="20"/>
                <w:lang w:val="pt-BR"/>
              </w:rPr>
              <w:t xml:space="preserve"> </w:t>
            </w:r>
            <w:r>
              <w:rPr>
                <w:rFonts w:ascii="Verdana" w:hAnsi="Verdana"/>
                <w:color w:val="000000"/>
                <w:sz w:val="20"/>
                <w:szCs w:val="20"/>
                <w:lang w:val="pt-BR"/>
              </w:rPr>
              <w:t>no</w:t>
            </w:r>
            <w:r>
              <w:rPr>
                <w:rFonts w:ascii="Verdana" w:hAnsi="Verdana"/>
                <w:color w:val="000000"/>
                <w:spacing w:val="-2"/>
                <w:sz w:val="20"/>
                <w:szCs w:val="20"/>
                <w:lang w:val="pt-BR"/>
              </w:rPr>
              <w:t xml:space="preserve"> </w:t>
            </w:r>
            <w:r>
              <w:rPr>
                <w:rFonts w:ascii="Verdana" w:hAnsi="Verdana"/>
                <w:color w:val="000000"/>
                <w:sz w:val="20"/>
                <w:szCs w:val="20"/>
                <w:lang w:val="pt-BR"/>
              </w:rPr>
              <w:t>mínimo</w:t>
            </w:r>
            <w:r>
              <w:rPr>
                <w:rFonts w:ascii="Verdana" w:hAnsi="Verdana"/>
                <w:color w:val="000000"/>
                <w:spacing w:val="-2"/>
                <w:sz w:val="20"/>
                <w:szCs w:val="20"/>
                <w:lang w:val="pt-BR"/>
              </w:rPr>
              <w:t xml:space="preserve"> </w:t>
            </w:r>
            <w:r>
              <w:rPr>
                <w:rFonts w:ascii="Verdana" w:hAnsi="Verdana"/>
                <w:color w:val="000000"/>
                <w:sz w:val="20"/>
                <w:szCs w:val="20"/>
                <w:lang w:val="pt-BR"/>
              </w:rPr>
              <w:t>6</w:t>
            </w:r>
            <w:r>
              <w:rPr>
                <w:rFonts w:ascii="Verdana" w:hAnsi="Verdana"/>
                <w:color w:val="000000"/>
                <w:spacing w:val="-2"/>
                <w:sz w:val="20"/>
                <w:szCs w:val="20"/>
                <w:lang w:val="pt-BR"/>
              </w:rPr>
              <w:t xml:space="preserve"> </w:t>
            </w:r>
            <w:r>
              <w:rPr>
                <w:rFonts w:ascii="Verdana" w:hAnsi="Verdana"/>
                <w:color w:val="000000"/>
                <w:sz w:val="20"/>
                <w:szCs w:val="20"/>
                <w:lang w:val="pt-BR"/>
              </w:rPr>
              <w:t>meses</w:t>
            </w:r>
            <w:r>
              <w:rPr>
                <w:rFonts w:ascii="Verdana" w:hAnsi="Verdana"/>
                <w:color w:val="000000"/>
                <w:spacing w:val="-2"/>
                <w:sz w:val="20"/>
                <w:szCs w:val="20"/>
                <w:lang w:val="pt-BR"/>
              </w:rPr>
              <w:t xml:space="preserve"> </w:t>
            </w:r>
            <w:r>
              <w:rPr>
                <w:rFonts w:ascii="Verdana" w:hAnsi="Verdana"/>
                <w:color w:val="000000"/>
                <w:sz w:val="20"/>
                <w:szCs w:val="20"/>
                <w:lang w:val="pt-BR"/>
              </w:rPr>
              <w:t>a</w:t>
            </w:r>
            <w:r>
              <w:rPr>
                <w:rFonts w:ascii="Verdana" w:hAnsi="Verdana"/>
                <w:color w:val="000000"/>
                <w:spacing w:val="-2"/>
                <w:sz w:val="20"/>
                <w:szCs w:val="20"/>
                <w:lang w:val="pt-BR"/>
              </w:rPr>
              <w:t xml:space="preserve"> </w:t>
            </w:r>
            <w:r>
              <w:rPr>
                <w:rFonts w:ascii="Verdana" w:hAnsi="Verdana"/>
                <w:color w:val="000000"/>
                <w:sz w:val="20"/>
                <w:szCs w:val="20"/>
                <w:lang w:val="pt-BR"/>
              </w:rPr>
              <w:t>1</w:t>
            </w:r>
            <w:r>
              <w:rPr>
                <w:rFonts w:ascii="Verdana" w:hAnsi="Verdana"/>
                <w:color w:val="000000"/>
                <w:spacing w:val="-2"/>
                <w:sz w:val="20"/>
                <w:szCs w:val="20"/>
                <w:lang w:val="pt-BR"/>
              </w:rPr>
              <w:t xml:space="preserve"> </w:t>
            </w:r>
            <w:r>
              <w:rPr>
                <w:rFonts w:ascii="Verdana" w:hAnsi="Verdana"/>
                <w:color w:val="000000"/>
                <w:sz w:val="20"/>
                <w:szCs w:val="20"/>
                <w:lang w:val="pt-BR"/>
              </w:rPr>
              <w:t>ano</w:t>
            </w:r>
            <w:r>
              <w:rPr>
                <w:rFonts w:ascii="Verdana" w:hAnsi="Verdana"/>
                <w:color w:val="000000"/>
                <w:spacing w:val="-2"/>
                <w:sz w:val="20"/>
                <w:szCs w:val="20"/>
                <w:lang w:val="pt-BR"/>
              </w:rPr>
              <w:t xml:space="preserve"> </w:t>
            </w:r>
            <w:r>
              <w:rPr>
                <w:rFonts w:ascii="Verdana" w:hAnsi="Verdana"/>
                <w:color w:val="000000"/>
                <w:sz w:val="20"/>
                <w:szCs w:val="20"/>
                <w:lang w:val="pt-BR"/>
              </w:rPr>
              <w:t>após</w:t>
            </w:r>
            <w:r>
              <w:rPr>
                <w:rFonts w:ascii="Verdana" w:hAnsi="Verdana"/>
                <w:color w:val="000000"/>
                <w:spacing w:val="-2"/>
                <w:sz w:val="20"/>
                <w:szCs w:val="20"/>
                <w:lang w:val="pt-BR"/>
              </w:rPr>
              <w:t xml:space="preserve"> </w:t>
            </w:r>
            <w:r>
              <w:rPr>
                <w:rFonts w:ascii="Verdana" w:hAnsi="Verdana"/>
                <w:color w:val="000000"/>
                <w:sz w:val="20"/>
                <w:szCs w:val="20"/>
                <w:lang w:val="pt-BR"/>
              </w:rPr>
              <w:t>a</w:t>
            </w:r>
            <w:r>
              <w:rPr>
                <w:rFonts w:ascii="Verdana" w:hAnsi="Verdana"/>
                <w:color w:val="000000"/>
                <w:spacing w:val="-1"/>
                <w:sz w:val="20"/>
                <w:szCs w:val="20"/>
                <w:lang w:val="pt-BR"/>
              </w:rPr>
              <w:t xml:space="preserve"> </w:t>
            </w:r>
            <w:r>
              <w:rPr>
                <w:rFonts w:ascii="Verdana" w:hAnsi="Verdana"/>
                <w:color w:val="000000"/>
                <w:sz w:val="20"/>
                <w:szCs w:val="20"/>
                <w:lang w:val="pt-BR"/>
              </w:rPr>
              <w:t>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48</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R$ 7,93</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R$ 380,64</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27</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Achocolatado c 7 vitaminas em pct De 1 kg achocolatado apresentação: pó</w:t>
            </w:r>
            <w:r>
              <w:rPr>
                <w:rFonts w:ascii="Verdana" w:hAnsi="Verdana"/>
                <w:color w:val="000000"/>
                <w:spacing w:val="-42"/>
                <w:sz w:val="20"/>
                <w:szCs w:val="20"/>
                <w:lang w:val="pt-BR"/>
              </w:rPr>
              <w:t xml:space="preserve"> </w:t>
            </w:r>
            <w:r>
              <w:rPr>
                <w:rFonts w:ascii="Verdana" w:hAnsi="Verdana"/>
                <w:color w:val="000000"/>
                <w:sz w:val="20"/>
                <w:szCs w:val="20"/>
                <w:lang w:val="pt-BR"/>
              </w:rPr>
              <w:t>sabor: tradicional característica adicional:</w:t>
            </w:r>
            <w:r>
              <w:rPr>
                <w:rFonts w:ascii="Verdana" w:hAnsi="Verdana"/>
                <w:color w:val="000000"/>
                <w:spacing w:val="-43"/>
                <w:sz w:val="20"/>
                <w:szCs w:val="20"/>
                <w:lang w:val="pt-BR"/>
              </w:rPr>
              <w:t xml:space="preserve"> </w:t>
            </w:r>
            <w:r>
              <w:rPr>
                <w:rFonts w:ascii="Verdana" w:hAnsi="Verdana"/>
                <w:color w:val="000000"/>
                <w:sz w:val="20"/>
                <w:szCs w:val="20"/>
                <w:lang w:val="pt-BR"/>
              </w:rPr>
              <w:t>enriquecido com vitaminas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80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R$ 14,68</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R$ 1.174,40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28</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Azeitona legume em conserva tipo: Azeitona verde apresentação: fatiada</w:t>
            </w:r>
            <w:r>
              <w:rPr>
                <w:rFonts w:ascii="Verdana" w:hAnsi="Verdana"/>
                <w:color w:val="000000"/>
                <w:spacing w:val="-43"/>
                <w:sz w:val="20"/>
                <w:szCs w:val="20"/>
                <w:lang w:val="pt-BR"/>
              </w:rPr>
              <w:t xml:space="preserve"> </w:t>
            </w:r>
            <w:r>
              <w:rPr>
                <w:rFonts w:ascii="Verdana" w:hAnsi="Verdana"/>
                <w:color w:val="000000"/>
                <w:sz w:val="20"/>
                <w:szCs w:val="20"/>
                <w:lang w:val="pt-BR"/>
              </w:rPr>
              <w:t>sachê 270 gr</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SACHE</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90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R$ 14,31</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R$ 1.287,90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29</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Tapioca granulada, tipo 1, pacote Com 500 gramas. Validade mínima de 4 meses após a entrega amido base:</w:t>
            </w:r>
            <w:r>
              <w:rPr>
                <w:rFonts w:ascii="Verdana" w:hAnsi="Verdana"/>
                <w:color w:val="000000"/>
                <w:spacing w:val="-43"/>
                <w:sz w:val="20"/>
                <w:szCs w:val="20"/>
                <w:lang w:val="pt-BR"/>
              </w:rPr>
              <w:t xml:space="preserve"> </w:t>
            </w:r>
            <w:r>
              <w:rPr>
                <w:rFonts w:ascii="Verdana" w:hAnsi="Verdana"/>
                <w:color w:val="000000"/>
                <w:sz w:val="20"/>
                <w:szCs w:val="20"/>
                <w:lang w:val="pt-BR"/>
              </w:rPr>
              <w:t>de</w:t>
            </w:r>
            <w:r>
              <w:rPr>
                <w:rFonts w:ascii="Verdana" w:hAnsi="Verdana"/>
                <w:color w:val="000000"/>
                <w:spacing w:val="2"/>
                <w:sz w:val="20"/>
                <w:szCs w:val="20"/>
                <w:lang w:val="pt-BR"/>
              </w:rPr>
              <w:t xml:space="preserve"> </w:t>
            </w:r>
            <w:r>
              <w:rPr>
                <w:rFonts w:ascii="Verdana" w:hAnsi="Verdana"/>
                <w:color w:val="000000"/>
                <w:sz w:val="20"/>
                <w:szCs w:val="20"/>
                <w:lang w:val="pt-BR"/>
              </w:rPr>
              <w:t>mandioca</w:t>
            </w:r>
            <w:r>
              <w:rPr>
                <w:rFonts w:ascii="Verdana" w:hAnsi="Verdana"/>
                <w:color w:val="000000"/>
                <w:spacing w:val="3"/>
                <w:sz w:val="20"/>
                <w:szCs w:val="20"/>
                <w:lang w:val="pt-BR"/>
              </w:rPr>
              <w:t xml:space="preserve"> </w:t>
            </w:r>
            <w:r>
              <w:rPr>
                <w:rFonts w:ascii="Verdana" w:hAnsi="Verdana"/>
                <w:color w:val="000000"/>
                <w:sz w:val="20"/>
                <w:szCs w:val="20"/>
                <w:lang w:val="pt-BR"/>
              </w:rPr>
              <w:t>grupo:</w:t>
            </w:r>
            <w:r>
              <w:rPr>
                <w:rFonts w:ascii="Verdana" w:hAnsi="Verdana"/>
                <w:color w:val="000000"/>
                <w:spacing w:val="2"/>
                <w:sz w:val="20"/>
                <w:szCs w:val="20"/>
                <w:lang w:val="pt-BR"/>
              </w:rPr>
              <w:t xml:space="preserve"> </w:t>
            </w:r>
            <w:r>
              <w:rPr>
                <w:rFonts w:ascii="Verdana" w:hAnsi="Verdana"/>
                <w:color w:val="000000"/>
                <w:sz w:val="20"/>
                <w:szCs w:val="20"/>
                <w:lang w:val="pt-BR"/>
              </w:rPr>
              <w:t>fécula</w:t>
            </w:r>
            <w:r>
              <w:rPr>
                <w:rFonts w:ascii="Verdana" w:hAnsi="Verdana"/>
                <w:color w:val="000000"/>
                <w:spacing w:val="3"/>
                <w:sz w:val="20"/>
                <w:szCs w:val="20"/>
                <w:lang w:val="pt-BR"/>
              </w:rPr>
              <w:t xml:space="preserve"> </w:t>
            </w:r>
            <w:r>
              <w:rPr>
                <w:rFonts w:ascii="Verdana" w:hAnsi="Verdana"/>
                <w:color w:val="000000"/>
                <w:sz w:val="20"/>
                <w:szCs w:val="20"/>
                <w:lang w:val="pt-BR"/>
              </w:rPr>
              <w:t>subgrupo:</w:t>
            </w:r>
            <w:r>
              <w:rPr>
                <w:rFonts w:ascii="Verdana" w:hAnsi="Verdana"/>
                <w:color w:val="000000"/>
                <w:spacing w:val="1"/>
                <w:sz w:val="20"/>
                <w:szCs w:val="20"/>
                <w:lang w:val="pt-BR"/>
              </w:rPr>
              <w:t xml:space="preserve"> </w:t>
            </w:r>
            <w:r>
              <w:rPr>
                <w:rFonts w:ascii="Verdana" w:hAnsi="Verdana"/>
                <w:color w:val="000000"/>
                <w:sz w:val="20"/>
                <w:szCs w:val="20"/>
                <w:lang w:val="pt-BR"/>
              </w:rPr>
              <w:t>flocos granulados características</w:t>
            </w:r>
            <w:r>
              <w:rPr>
                <w:rFonts w:ascii="Verdana" w:hAnsi="Verdana"/>
                <w:color w:val="000000"/>
                <w:spacing w:val="1"/>
                <w:sz w:val="20"/>
                <w:szCs w:val="20"/>
                <w:lang w:val="pt-BR"/>
              </w:rPr>
              <w:t xml:space="preserve"> </w:t>
            </w:r>
            <w:r>
              <w:rPr>
                <w:rFonts w:ascii="Verdana" w:hAnsi="Verdana"/>
                <w:color w:val="000000"/>
                <w:sz w:val="20"/>
                <w:szCs w:val="20"/>
                <w:lang w:val="pt-BR"/>
              </w:rPr>
              <w:t>adicionais: massa granulada para cuscuz, Pudins, bolos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48</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R$ 7,29</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R$ 349,92</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30</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Polvilho doce – fabricado a partir de Matérias-primas sãs e limpas.</w:t>
            </w:r>
            <w:r>
              <w:rPr>
                <w:rFonts w:ascii="Verdana" w:hAnsi="Verdana"/>
                <w:color w:val="000000"/>
                <w:spacing w:val="1"/>
                <w:sz w:val="20"/>
                <w:szCs w:val="20"/>
                <w:lang w:val="pt-BR"/>
              </w:rPr>
              <w:t xml:space="preserve"> </w:t>
            </w:r>
            <w:r>
              <w:rPr>
                <w:rFonts w:ascii="Verdana" w:hAnsi="Verdana"/>
                <w:color w:val="000000"/>
                <w:sz w:val="20"/>
                <w:szCs w:val="20"/>
                <w:lang w:val="pt-BR"/>
              </w:rPr>
              <w:t>Com odor,</w:t>
            </w:r>
            <w:r>
              <w:rPr>
                <w:rFonts w:ascii="Verdana" w:hAnsi="Verdana"/>
                <w:color w:val="000000"/>
                <w:spacing w:val="1"/>
                <w:sz w:val="20"/>
                <w:szCs w:val="20"/>
                <w:lang w:val="pt-BR"/>
              </w:rPr>
              <w:t xml:space="preserve"> </w:t>
            </w:r>
            <w:r>
              <w:rPr>
                <w:rFonts w:ascii="Verdana" w:hAnsi="Verdana"/>
                <w:color w:val="000000"/>
                <w:sz w:val="20"/>
                <w:szCs w:val="20"/>
                <w:lang w:val="pt-BR"/>
              </w:rPr>
              <w:t>sabor e cor característicos. Produto livre de</w:t>
            </w:r>
            <w:r>
              <w:rPr>
                <w:rFonts w:ascii="Verdana" w:hAnsi="Verdana"/>
                <w:color w:val="000000"/>
                <w:spacing w:val="-43"/>
                <w:sz w:val="20"/>
                <w:szCs w:val="20"/>
                <w:lang w:val="pt-BR"/>
              </w:rPr>
              <w:t xml:space="preserve"> </w:t>
            </w:r>
            <w:r>
              <w:rPr>
                <w:rFonts w:ascii="Verdana" w:hAnsi="Verdana"/>
                <w:color w:val="000000"/>
                <w:sz w:val="20"/>
                <w:szCs w:val="20"/>
                <w:lang w:val="pt-BR"/>
              </w:rPr>
              <w:t>matéria terrosa, parasitas, larvas e detritos</w:t>
            </w:r>
            <w:r>
              <w:rPr>
                <w:rFonts w:ascii="Verdana" w:hAnsi="Verdana"/>
                <w:color w:val="000000"/>
                <w:spacing w:val="-42"/>
                <w:sz w:val="20"/>
                <w:szCs w:val="20"/>
                <w:lang w:val="pt-BR"/>
              </w:rPr>
              <w:t xml:space="preserve"> </w:t>
            </w:r>
            <w:r>
              <w:rPr>
                <w:rFonts w:ascii="Verdana" w:hAnsi="Verdana"/>
                <w:color w:val="000000"/>
                <w:sz w:val="20"/>
                <w:szCs w:val="20"/>
                <w:lang w:val="pt-BR"/>
              </w:rPr>
              <w:t>animais e vegetais. Pacote de polietileno</w:t>
            </w:r>
            <w:r>
              <w:rPr>
                <w:rFonts w:ascii="Verdana" w:hAnsi="Verdana"/>
                <w:color w:val="000000"/>
                <w:spacing w:val="1"/>
                <w:sz w:val="20"/>
                <w:szCs w:val="20"/>
                <w:lang w:val="pt-BR"/>
              </w:rPr>
              <w:t xml:space="preserve"> </w:t>
            </w:r>
            <w:r>
              <w:rPr>
                <w:rFonts w:ascii="Verdana" w:hAnsi="Verdana"/>
                <w:color w:val="000000"/>
                <w:sz w:val="20"/>
                <w:szCs w:val="20"/>
                <w:lang w:val="pt-BR"/>
              </w:rPr>
              <w:t>atóxico, resistente, contendo 1 kg.</w:t>
            </w:r>
            <w:r>
              <w:rPr>
                <w:rFonts w:ascii="Verdana" w:hAnsi="Verdana"/>
                <w:color w:val="000000"/>
                <w:spacing w:val="1"/>
                <w:sz w:val="20"/>
                <w:szCs w:val="20"/>
                <w:lang w:val="pt-BR"/>
              </w:rPr>
              <w:t xml:space="preserve"> </w:t>
            </w:r>
            <w:r>
              <w:rPr>
                <w:rFonts w:ascii="Verdana" w:hAnsi="Verdana"/>
                <w:color w:val="000000"/>
                <w:sz w:val="20"/>
                <w:szCs w:val="20"/>
                <w:lang w:val="pt-BR"/>
              </w:rPr>
              <w:t>Data de</w:t>
            </w:r>
            <w:r>
              <w:rPr>
                <w:rFonts w:ascii="Verdana" w:hAnsi="Verdana"/>
                <w:color w:val="000000"/>
                <w:spacing w:val="1"/>
                <w:sz w:val="20"/>
                <w:szCs w:val="20"/>
                <w:lang w:val="pt-BR"/>
              </w:rPr>
              <w:t xml:space="preserve"> </w:t>
            </w:r>
            <w:r>
              <w:rPr>
                <w:rFonts w:ascii="Verdana" w:hAnsi="Verdana"/>
                <w:color w:val="000000"/>
                <w:sz w:val="20"/>
                <w:szCs w:val="20"/>
                <w:lang w:val="pt-BR"/>
              </w:rPr>
              <w:t>validade mínima de 6 meses após a</w:t>
            </w:r>
            <w:r>
              <w:rPr>
                <w:rFonts w:ascii="Verdana" w:hAnsi="Verdana"/>
                <w:color w:val="000000"/>
                <w:spacing w:val="1"/>
                <w:sz w:val="20"/>
                <w:szCs w:val="20"/>
                <w:lang w:val="pt-BR"/>
              </w:rPr>
              <w:t xml:space="preserve"> </w:t>
            </w:r>
            <w:r>
              <w:rPr>
                <w:rFonts w:ascii="Verdana" w:hAnsi="Verdana"/>
                <w:color w:val="000000"/>
                <w:sz w:val="20"/>
                <w:szCs w:val="20"/>
                <w:lang w:val="pt-BR"/>
              </w:rPr>
              <w:t>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24</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R$ 10,91</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R$ 261,84</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31</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Leite condensado, embalagem com 395 gramas leite condensado tipo:</w:t>
            </w:r>
            <w:r>
              <w:rPr>
                <w:rFonts w:ascii="Verdana" w:hAnsi="Verdana"/>
                <w:color w:val="000000"/>
                <w:spacing w:val="1"/>
                <w:sz w:val="20"/>
                <w:szCs w:val="20"/>
                <w:lang w:val="pt-BR"/>
              </w:rPr>
              <w:t xml:space="preserve"> </w:t>
            </w:r>
            <w:r>
              <w:rPr>
                <w:rFonts w:ascii="Verdana" w:hAnsi="Verdana"/>
                <w:color w:val="000000"/>
                <w:sz w:val="20"/>
                <w:szCs w:val="20"/>
                <w:lang w:val="pt-BR"/>
              </w:rPr>
              <w:t>integral</w:t>
            </w:r>
            <w:r>
              <w:rPr>
                <w:rFonts w:ascii="Verdana" w:hAnsi="Verdana"/>
                <w:color w:val="000000"/>
                <w:spacing w:val="-4"/>
                <w:sz w:val="20"/>
                <w:szCs w:val="20"/>
                <w:lang w:val="pt-BR"/>
              </w:rPr>
              <w:t xml:space="preserve"> </w:t>
            </w:r>
            <w:r>
              <w:rPr>
                <w:rFonts w:ascii="Verdana" w:hAnsi="Verdana"/>
                <w:color w:val="000000"/>
                <w:sz w:val="20"/>
                <w:szCs w:val="20"/>
                <w:lang w:val="pt-BR"/>
              </w:rPr>
              <w:t>ingrediente</w:t>
            </w:r>
            <w:r>
              <w:rPr>
                <w:rFonts w:ascii="Verdana" w:hAnsi="Verdana"/>
                <w:color w:val="000000"/>
                <w:spacing w:val="-3"/>
                <w:sz w:val="20"/>
                <w:szCs w:val="20"/>
                <w:lang w:val="pt-BR"/>
              </w:rPr>
              <w:t xml:space="preserve"> </w:t>
            </w:r>
            <w:r>
              <w:rPr>
                <w:rFonts w:ascii="Verdana" w:hAnsi="Verdana"/>
                <w:color w:val="000000"/>
                <w:sz w:val="20"/>
                <w:szCs w:val="20"/>
                <w:lang w:val="pt-BR"/>
              </w:rPr>
              <w:t>básico:</w:t>
            </w:r>
            <w:r>
              <w:rPr>
                <w:rFonts w:ascii="Verdana" w:hAnsi="Verdana"/>
                <w:color w:val="000000"/>
                <w:spacing w:val="-3"/>
                <w:sz w:val="20"/>
                <w:szCs w:val="20"/>
                <w:lang w:val="pt-BR"/>
              </w:rPr>
              <w:t xml:space="preserve"> </w:t>
            </w:r>
            <w:r>
              <w:rPr>
                <w:rFonts w:ascii="Verdana" w:hAnsi="Verdana"/>
                <w:color w:val="000000"/>
                <w:sz w:val="20"/>
                <w:szCs w:val="20"/>
                <w:lang w:val="pt-BR"/>
              </w:rPr>
              <w:t>leite</w:t>
            </w:r>
            <w:r>
              <w:rPr>
                <w:rFonts w:ascii="Verdana" w:hAnsi="Verdana"/>
                <w:color w:val="000000"/>
                <w:spacing w:val="-3"/>
                <w:sz w:val="20"/>
                <w:szCs w:val="20"/>
                <w:lang w:val="pt-BR"/>
              </w:rPr>
              <w:t xml:space="preserve"> </w:t>
            </w:r>
            <w:r>
              <w:rPr>
                <w:rFonts w:ascii="Verdana" w:hAnsi="Verdana"/>
                <w:color w:val="000000"/>
                <w:sz w:val="20"/>
                <w:szCs w:val="20"/>
                <w:lang w:val="pt-BR"/>
              </w:rPr>
              <w:t>in natura Prazo de validade mínimo: 12 meses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UND</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120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R$ 5,70</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R$ 684,00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32</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Leite de coco embalagem com 200 ml Leite coco tipo: integral prazo de validade</w:t>
            </w:r>
            <w:r>
              <w:rPr>
                <w:rFonts w:ascii="Verdana" w:hAnsi="Verdana"/>
                <w:color w:val="000000"/>
                <w:spacing w:val="-43"/>
                <w:sz w:val="20"/>
                <w:szCs w:val="20"/>
                <w:lang w:val="pt-BR"/>
              </w:rPr>
              <w:t xml:space="preserve"> </w:t>
            </w:r>
            <w:r>
              <w:rPr>
                <w:rFonts w:ascii="Verdana" w:hAnsi="Verdana"/>
                <w:color w:val="000000"/>
                <w:sz w:val="20"/>
                <w:szCs w:val="20"/>
                <w:lang w:val="pt-BR"/>
              </w:rPr>
              <w:t>mínimo: 12 meses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VD</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48</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R$ 3,57</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R$ 171,36</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33</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Goiabada 01 kg doce não confeitado Tipo: massa sabor: goiaba prazo de validade</w:t>
            </w:r>
            <w:r>
              <w:rPr>
                <w:rFonts w:ascii="Verdana" w:hAnsi="Verdana"/>
                <w:color w:val="000000"/>
                <w:spacing w:val="-43"/>
                <w:sz w:val="20"/>
                <w:szCs w:val="20"/>
                <w:lang w:val="pt-BR"/>
              </w:rPr>
              <w:t xml:space="preserve"> </w:t>
            </w:r>
            <w:r>
              <w:rPr>
                <w:rFonts w:ascii="Verdana" w:hAnsi="Verdana"/>
                <w:color w:val="000000"/>
                <w:sz w:val="20"/>
                <w:szCs w:val="20"/>
                <w:lang w:val="pt-BR"/>
              </w:rPr>
              <w:t>mínima: 12 meses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48</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11,02</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R$ 528,96</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34</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Biscoito água e sal tipo cream</w:t>
            </w:r>
            <w:r>
              <w:rPr>
                <w:rFonts w:ascii="Verdana" w:hAnsi="Verdana"/>
                <w:color w:val="000000"/>
                <w:spacing w:val="-43"/>
                <w:sz w:val="20"/>
                <w:szCs w:val="20"/>
                <w:lang w:val="pt-BR"/>
              </w:rPr>
              <w:t xml:space="preserve"> </w:t>
            </w:r>
            <w:r>
              <w:rPr>
                <w:rFonts w:ascii="Verdana" w:hAnsi="Verdana"/>
                <w:color w:val="000000"/>
                <w:sz w:val="20"/>
                <w:szCs w:val="20"/>
                <w:lang w:val="pt-BR"/>
              </w:rPr>
              <w:t>creacker, pacote com 500 g Biscoito sabor: salgado</w:t>
            </w:r>
            <w:r>
              <w:rPr>
                <w:rFonts w:ascii="Verdana" w:hAnsi="Verdana"/>
                <w:color w:val="000000"/>
                <w:spacing w:val="1"/>
                <w:sz w:val="20"/>
                <w:szCs w:val="20"/>
                <w:lang w:val="pt-BR"/>
              </w:rPr>
              <w:t xml:space="preserve"> </w:t>
            </w:r>
            <w:r>
              <w:rPr>
                <w:rFonts w:ascii="Verdana" w:hAnsi="Verdana"/>
                <w:color w:val="000000"/>
                <w:sz w:val="20"/>
                <w:szCs w:val="20"/>
                <w:lang w:val="pt-BR"/>
              </w:rPr>
              <w:t>tipo: cream cracker</w:t>
            </w:r>
            <w:r>
              <w:rPr>
                <w:rFonts w:ascii="Verdana" w:hAnsi="Verdana"/>
                <w:color w:val="000000"/>
                <w:spacing w:val="-43"/>
                <w:sz w:val="20"/>
                <w:szCs w:val="20"/>
                <w:lang w:val="pt-BR"/>
              </w:rPr>
              <w:t xml:space="preserve"> </w:t>
            </w:r>
            <w:r>
              <w:rPr>
                <w:rFonts w:ascii="Verdana" w:hAnsi="Verdana"/>
                <w:color w:val="000000"/>
                <w:sz w:val="20"/>
                <w:szCs w:val="20"/>
                <w:lang w:val="pt-BR"/>
              </w:rPr>
              <w:t>ingredientes: sem gordura trans</w:t>
            </w:r>
            <w:r>
              <w:rPr>
                <w:rFonts w:ascii="Verdana" w:hAnsi="Verdana"/>
                <w:color w:val="000000"/>
                <w:spacing w:val="1"/>
                <w:sz w:val="20"/>
                <w:szCs w:val="20"/>
                <w:lang w:val="pt-BR"/>
              </w:rPr>
              <w:t xml:space="preserve"> </w:t>
            </w:r>
            <w:r>
              <w:rPr>
                <w:rFonts w:ascii="Verdana" w:hAnsi="Verdana"/>
                <w:color w:val="000000"/>
                <w:sz w:val="20"/>
                <w:szCs w:val="20"/>
                <w:lang w:val="pt-BR"/>
              </w:rPr>
              <w:t>características adicionais: quadrado</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R$ 8,01</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R$ 1.281,60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35</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Biscoito doce tipo maisena ou maria Textura crocante; com odor, sabor e cor</w:t>
            </w:r>
            <w:r>
              <w:rPr>
                <w:rFonts w:ascii="Verdana" w:hAnsi="Verdana"/>
                <w:color w:val="000000"/>
                <w:spacing w:val="1"/>
                <w:sz w:val="20"/>
                <w:szCs w:val="20"/>
                <w:lang w:val="pt-BR"/>
              </w:rPr>
              <w:t xml:space="preserve"> </w:t>
            </w:r>
            <w:r>
              <w:rPr>
                <w:rFonts w:ascii="Verdana" w:hAnsi="Verdana"/>
                <w:color w:val="000000"/>
                <w:sz w:val="20"/>
                <w:szCs w:val="20"/>
                <w:lang w:val="pt-BR"/>
              </w:rPr>
              <w:t>característicos; isento de parasitas e</w:t>
            </w:r>
            <w:r>
              <w:rPr>
                <w:rFonts w:ascii="Verdana" w:hAnsi="Verdana"/>
                <w:color w:val="000000"/>
                <w:spacing w:val="1"/>
                <w:sz w:val="20"/>
                <w:szCs w:val="20"/>
                <w:lang w:val="pt-BR"/>
              </w:rPr>
              <w:t xml:space="preserve"> </w:t>
            </w:r>
            <w:r>
              <w:rPr>
                <w:rFonts w:ascii="Verdana" w:hAnsi="Verdana"/>
                <w:color w:val="000000"/>
                <w:sz w:val="20"/>
                <w:szCs w:val="20"/>
                <w:lang w:val="pt-BR"/>
              </w:rPr>
              <w:t>materiais estranhos. Embalagem primária</w:t>
            </w:r>
            <w:r>
              <w:rPr>
                <w:rFonts w:ascii="Verdana" w:hAnsi="Verdana"/>
                <w:color w:val="000000"/>
                <w:spacing w:val="-42"/>
                <w:sz w:val="20"/>
                <w:szCs w:val="20"/>
                <w:lang w:val="pt-BR"/>
              </w:rPr>
              <w:t xml:space="preserve"> </w:t>
            </w:r>
            <w:r>
              <w:rPr>
                <w:rFonts w:ascii="Verdana" w:hAnsi="Verdana"/>
                <w:color w:val="000000"/>
                <w:sz w:val="20"/>
                <w:szCs w:val="20"/>
                <w:lang w:val="pt-BR"/>
              </w:rPr>
              <w:t>plástica de 360 g.</w:t>
            </w:r>
            <w:r>
              <w:rPr>
                <w:rFonts w:ascii="Verdana" w:hAnsi="Verdana"/>
                <w:color w:val="000000"/>
                <w:spacing w:val="1"/>
                <w:sz w:val="20"/>
                <w:szCs w:val="20"/>
                <w:lang w:val="pt-BR"/>
              </w:rPr>
              <w:t xml:space="preserve"> </w:t>
            </w:r>
            <w:r>
              <w:rPr>
                <w:rFonts w:ascii="Verdana" w:hAnsi="Verdana"/>
                <w:color w:val="000000"/>
                <w:sz w:val="20"/>
                <w:szCs w:val="20"/>
                <w:lang w:val="pt-BR"/>
              </w:rPr>
              <w:t>Validade mínima de 06</w:t>
            </w:r>
            <w:r>
              <w:rPr>
                <w:rFonts w:ascii="Verdana" w:hAnsi="Verdana"/>
                <w:color w:val="000000"/>
                <w:spacing w:val="1"/>
                <w:sz w:val="20"/>
                <w:szCs w:val="20"/>
                <w:lang w:val="pt-BR"/>
              </w:rPr>
              <w:t xml:space="preserve"> </w:t>
            </w:r>
            <w:r>
              <w:rPr>
                <w:rFonts w:ascii="Verdana" w:hAnsi="Verdana"/>
                <w:color w:val="000000"/>
                <w:sz w:val="20"/>
                <w:szCs w:val="20"/>
                <w:lang w:val="pt-BR"/>
              </w:rPr>
              <w:t>meses</w:t>
            </w:r>
            <w:r>
              <w:rPr>
                <w:rFonts w:ascii="Verdana" w:hAnsi="Verdana"/>
                <w:color w:val="000000"/>
                <w:spacing w:val="-3"/>
                <w:sz w:val="20"/>
                <w:szCs w:val="20"/>
                <w:lang w:val="pt-BR"/>
              </w:rPr>
              <w:t xml:space="preserve"> </w:t>
            </w:r>
            <w:r>
              <w:rPr>
                <w:rFonts w:ascii="Verdana" w:hAnsi="Verdana"/>
                <w:color w:val="000000"/>
                <w:sz w:val="20"/>
                <w:szCs w:val="20"/>
                <w:lang w:val="pt-BR"/>
              </w:rPr>
              <w:t>após</w:t>
            </w:r>
            <w:r>
              <w:rPr>
                <w:rFonts w:ascii="Verdana" w:hAnsi="Verdana"/>
                <w:color w:val="000000"/>
                <w:spacing w:val="-3"/>
                <w:sz w:val="20"/>
                <w:szCs w:val="20"/>
                <w:lang w:val="pt-BR"/>
              </w:rPr>
              <w:t xml:space="preserve"> </w:t>
            </w:r>
            <w:r>
              <w:rPr>
                <w:rFonts w:ascii="Verdana" w:hAnsi="Verdana"/>
                <w:color w:val="000000"/>
                <w:sz w:val="20"/>
                <w:szCs w:val="20"/>
                <w:lang w:val="pt-BR"/>
              </w:rPr>
              <w:t>a</w:t>
            </w:r>
            <w:r>
              <w:rPr>
                <w:rFonts w:ascii="Verdana" w:hAnsi="Verdana"/>
                <w:color w:val="000000"/>
                <w:spacing w:val="-3"/>
                <w:sz w:val="20"/>
                <w:szCs w:val="20"/>
                <w:lang w:val="pt-BR"/>
              </w:rPr>
              <w:t xml:space="preserve"> </w:t>
            </w:r>
            <w:r>
              <w:rPr>
                <w:rFonts w:ascii="Verdana" w:hAnsi="Verdana"/>
                <w:color w:val="000000"/>
                <w:sz w:val="20"/>
                <w:szCs w:val="20"/>
                <w:lang w:val="pt-BR"/>
              </w:rPr>
              <w:t>entrega.</w:t>
            </w:r>
            <w:r>
              <w:rPr>
                <w:rFonts w:ascii="Verdana" w:hAnsi="Verdana"/>
                <w:color w:val="000000"/>
                <w:spacing w:val="-2"/>
                <w:sz w:val="20"/>
                <w:szCs w:val="20"/>
                <w:lang w:val="pt-BR"/>
              </w:rPr>
              <w:t xml:space="preserve"> </w:t>
            </w:r>
            <w:r>
              <w:rPr>
                <w:rFonts w:ascii="Verdana" w:hAnsi="Verdana"/>
                <w:color w:val="000000"/>
                <w:sz w:val="20"/>
                <w:szCs w:val="20"/>
                <w:lang w:val="pt-BR"/>
              </w:rPr>
              <w:t>Zero</w:t>
            </w:r>
            <w:r>
              <w:rPr>
                <w:rFonts w:ascii="Verdana" w:hAnsi="Verdana"/>
                <w:color w:val="000000"/>
                <w:spacing w:val="-3"/>
                <w:sz w:val="20"/>
                <w:szCs w:val="20"/>
                <w:lang w:val="pt-BR"/>
              </w:rPr>
              <w:t xml:space="preserve"> </w:t>
            </w:r>
            <w:r>
              <w:rPr>
                <w:rFonts w:ascii="Verdana" w:hAnsi="Verdana"/>
                <w:color w:val="000000"/>
                <w:sz w:val="20"/>
                <w:szCs w:val="20"/>
                <w:lang w:val="pt-BR"/>
              </w:rPr>
              <w:t>gordura</w:t>
            </w:r>
            <w:r>
              <w:rPr>
                <w:rFonts w:ascii="Verdana" w:hAnsi="Verdana"/>
                <w:color w:val="000000"/>
                <w:spacing w:val="-3"/>
                <w:sz w:val="20"/>
                <w:szCs w:val="20"/>
                <w:lang w:val="pt-BR"/>
              </w:rPr>
              <w:t xml:space="preserve"> </w:t>
            </w:r>
            <w:r>
              <w:rPr>
                <w:rFonts w:ascii="Verdana" w:hAnsi="Verdana"/>
                <w:color w:val="000000"/>
                <w:sz w:val="20"/>
                <w:szCs w:val="20"/>
                <w:lang w:val="pt-BR"/>
              </w:rPr>
              <w:t>trans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180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R$ 7,27</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R$ 1.308,60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36</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Milho de pipoca, amarelo, tipo</w:t>
            </w:r>
          </w:p>
          <w:p>
            <w:pPr>
              <w:pStyle w:val="TableParagraph"/>
              <w:spacing w:lineRule="auto" w:line="276" w:before="0" w:after="0"/>
              <w:ind w:left="0" w:right="0"/>
              <w:jc w:val="both"/>
              <w:rPr>
                <w:lang w:val="pt-BR"/>
              </w:rPr>
            </w:pPr>
            <w:r>
              <w:rPr>
                <w:rFonts w:ascii="Verdana" w:hAnsi="Verdana"/>
                <w:color w:val="000000"/>
                <w:sz w:val="20"/>
                <w:szCs w:val="20"/>
                <w:lang w:val="pt-BR"/>
              </w:rPr>
              <w:t>1,pacote com 500 gramas. Validade</w:t>
            </w:r>
            <w:r>
              <w:rPr>
                <w:rFonts w:ascii="Verdana" w:hAnsi="Verdana"/>
                <w:color w:val="000000"/>
                <w:spacing w:val="-43"/>
                <w:sz w:val="20"/>
                <w:szCs w:val="20"/>
                <w:lang w:val="pt-BR"/>
              </w:rPr>
              <w:t xml:space="preserve"> </w:t>
            </w:r>
            <w:r>
              <w:rPr>
                <w:rFonts w:ascii="Verdana" w:hAnsi="Verdana"/>
                <w:color w:val="000000"/>
                <w:sz w:val="20"/>
                <w:szCs w:val="20"/>
                <w:lang w:val="pt-BR"/>
              </w:rPr>
              <w:t>mínima de 4 meses após a 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24</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R$ 4,36</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R$ 104,64</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37</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Polvilho azedo pacote com 01 kg</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24</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R$ 11,87</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R$ 284,88</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38</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Creme de leite UHT de boa qualidade, Embalagem de 200gr</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UND</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120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R$ 3,56</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R$ 427,20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39</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Uva passas fruta tipo 1: uva-passa Apresentação: desidratada / seca adicional:</w:t>
            </w:r>
            <w:r>
              <w:rPr>
                <w:rFonts w:ascii="Verdana" w:hAnsi="Verdana"/>
                <w:color w:val="000000"/>
                <w:spacing w:val="-43"/>
                <w:sz w:val="20"/>
                <w:szCs w:val="20"/>
                <w:lang w:val="pt-BR"/>
              </w:rPr>
              <w:t xml:space="preserve"> </w:t>
            </w:r>
            <w:r>
              <w:rPr>
                <w:rFonts w:ascii="Verdana" w:hAnsi="Verdana"/>
                <w:color w:val="000000"/>
                <w:sz w:val="20"/>
                <w:szCs w:val="20"/>
                <w:lang w:val="pt-BR"/>
              </w:rPr>
              <w:t>preta. 200 gramas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EMB</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R$ 6,25</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R$ 375,00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40</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Sardinha em conserva, molho de Tomate comestível, sal, lata com</w:t>
            </w:r>
            <w:r>
              <w:rPr>
                <w:rFonts w:ascii="Verdana" w:hAnsi="Verdana"/>
                <w:color w:val="000000"/>
                <w:spacing w:val="-43"/>
                <w:sz w:val="20"/>
                <w:szCs w:val="20"/>
                <w:lang w:val="pt-BR"/>
              </w:rPr>
              <w:t xml:space="preserve"> </w:t>
            </w:r>
            <w:r>
              <w:rPr>
                <w:rFonts w:ascii="Verdana" w:hAnsi="Verdana"/>
                <w:color w:val="000000"/>
                <w:sz w:val="20"/>
                <w:szCs w:val="20"/>
                <w:lang w:val="pt-BR"/>
              </w:rPr>
              <w:t>125 gramas. Validade mínima de 4 Meses após a 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LATA</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120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R$ 5,09</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R$ 610,80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41</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Amido de milho em embalagem de 1 kg</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12</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R$ 8,89</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R$ 106,68</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42</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Vinagre de maçã, 750 ml vinagre Matéria-prima: maçã tipo: aromático acidez:</w:t>
            </w:r>
            <w:r>
              <w:rPr>
                <w:rFonts w:ascii="Verdana" w:hAnsi="Verdana"/>
                <w:color w:val="000000"/>
                <w:spacing w:val="-43"/>
                <w:sz w:val="20"/>
                <w:szCs w:val="20"/>
                <w:lang w:val="pt-BR"/>
              </w:rPr>
              <w:t xml:space="preserve"> </w:t>
            </w:r>
            <w:r>
              <w:rPr>
                <w:rFonts w:ascii="Verdana" w:hAnsi="Verdana"/>
                <w:color w:val="000000"/>
                <w:sz w:val="20"/>
                <w:szCs w:val="20"/>
                <w:lang w:val="pt-BR"/>
              </w:rPr>
              <w:t>4,20 per</w:t>
            </w:r>
            <w:r>
              <w:rPr>
                <w:rFonts w:ascii="Verdana" w:hAnsi="Verdana"/>
                <w:color w:val="000000"/>
                <w:spacing w:val="1"/>
                <w:sz w:val="20"/>
                <w:szCs w:val="20"/>
                <w:lang w:val="pt-BR"/>
              </w:rPr>
              <w:t xml:space="preserve"> </w:t>
            </w:r>
            <w:r>
              <w:rPr>
                <w:rFonts w:ascii="Verdana" w:hAnsi="Verdana"/>
                <w:color w:val="000000"/>
                <w:sz w:val="20"/>
                <w:szCs w:val="20"/>
                <w:lang w:val="pt-BR"/>
              </w:rPr>
              <w:t>aspecto físico: líquido aspecto visual: límpido e sem depósitos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VD</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24</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R$ 4,76</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R$ 114,24</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43</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Queijo mussarela queijo origem: de Vaca variedade: muçarela apresentação:</w:t>
            </w:r>
            <w:r>
              <w:rPr>
                <w:rFonts w:ascii="Verdana" w:hAnsi="Verdana"/>
                <w:color w:val="000000"/>
                <w:spacing w:val="-43"/>
                <w:sz w:val="20"/>
                <w:szCs w:val="20"/>
                <w:lang w:val="pt-BR"/>
              </w:rPr>
              <w:t xml:space="preserve"> </w:t>
            </w:r>
            <w:r>
              <w:rPr>
                <w:rFonts w:ascii="Verdana" w:hAnsi="Verdana"/>
                <w:color w:val="000000"/>
                <w:sz w:val="20"/>
                <w:szCs w:val="20"/>
                <w:lang w:val="pt-BR"/>
              </w:rPr>
              <w:t>peça teor gordura: baixo teor de gordura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24</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R$ 44,29</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R$ 1.062,96</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44</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Milho verde em conserva 200 g</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LATA</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120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R$ 4,58</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R$ 549,60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45</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Refrigerante descartável 02 litros Primeira qualidade, sabores variados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PET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R$ 6,74</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R$ 404,40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46</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Amendoim branco, pacote com 500</w:t>
            </w:r>
            <w:r>
              <w:rPr>
                <w:rFonts w:ascii="Verdana" w:hAnsi="Verdana"/>
                <w:color w:val="000000"/>
                <w:spacing w:val="1"/>
                <w:sz w:val="20"/>
                <w:szCs w:val="20"/>
                <w:lang w:val="pt-BR"/>
              </w:rPr>
              <w:t xml:space="preserve"> </w:t>
            </w:r>
            <w:r>
              <w:rPr>
                <w:rFonts w:ascii="Verdana" w:hAnsi="Verdana"/>
                <w:color w:val="000000"/>
                <w:sz w:val="20"/>
                <w:szCs w:val="20"/>
                <w:lang w:val="pt-BR"/>
              </w:rPr>
              <w:t>gramas.</w:t>
            </w:r>
            <w:r>
              <w:rPr>
                <w:rFonts w:ascii="Verdana" w:hAnsi="Verdana"/>
                <w:color w:val="000000"/>
                <w:spacing w:val="-4"/>
                <w:sz w:val="20"/>
                <w:szCs w:val="20"/>
                <w:lang w:val="pt-BR"/>
              </w:rPr>
              <w:t xml:space="preserve"> </w:t>
            </w:r>
            <w:r>
              <w:rPr>
                <w:rFonts w:ascii="Verdana" w:hAnsi="Verdana"/>
                <w:color w:val="000000"/>
                <w:sz w:val="20"/>
                <w:szCs w:val="20"/>
                <w:lang w:val="pt-BR"/>
              </w:rPr>
              <w:t>Validade</w:t>
            </w:r>
            <w:r>
              <w:rPr>
                <w:rFonts w:ascii="Verdana" w:hAnsi="Verdana"/>
                <w:color w:val="000000"/>
                <w:spacing w:val="-3"/>
                <w:sz w:val="20"/>
                <w:szCs w:val="20"/>
                <w:lang w:val="pt-BR"/>
              </w:rPr>
              <w:t xml:space="preserve"> </w:t>
            </w:r>
            <w:r>
              <w:rPr>
                <w:rFonts w:ascii="Verdana" w:hAnsi="Verdana"/>
                <w:color w:val="000000"/>
                <w:sz w:val="20"/>
                <w:szCs w:val="20"/>
                <w:lang w:val="pt-BR"/>
              </w:rPr>
              <w:t>mínima</w:t>
            </w:r>
            <w:r>
              <w:rPr>
                <w:rFonts w:ascii="Verdana" w:hAnsi="Verdana"/>
                <w:color w:val="000000"/>
                <w:spacing w:val="-3"/>
                <w:sz w:val="20"/>
                <w:szCs w:val="20"/>
                <w:lang w:val="pt-BR"/>
              </w:rPr>
              <w:t xml:space="preserve"> </w:t>
            </w:r>
            <w:r>
              <w:rPr>
                <w:rFonts w:ascii="Verdana" w:hAnsi="Verdana"/>
                <w:color w:val="000000"/>
                <w:sz w:val="20"/>
                <w:szCs w:val="20"/>
                <w:lang w:val="pt-BR"/>
              </w:rPr>
              <w:t>de</w:t>
            </w:r>
            <w:r>
              <w:rPr>
                <w:rFonts w:ascii="Verdana" w:hAnsi="Verdana"/>
                <w:color w:val="000000"/>
                <w:spacing w:val="-3"/>
                <w:sz w:val="20"/>
                <w:szCs w:val="20"/>
                <w:lang w:val="pt-BR"/>
              </w:rPr>
              <w:t xml:space="preserve"> </w:t>
            </w:r>
            <w:r>
              <w:rPr>
                <w:rFonts w:ascii="Verdana" w:hAnsi="Verdana"/>
                <w:color w:val="000000"/>
                <w:sz w:val="20"/>
                <w:szCs w:val="20"/>
                <w:lang w:val="pt-BR"/>
              </w:rPr>
              <w:t>4</w:t>
            </w:r>
            <w:r>
              <w:rPr>
                <w:rFonts w:ascii="Verdana" w:hAnsi="Verdana"/>
                <w:color w:val="000000"/>
                <w:spacing w:val="-4"/>
                <w:sz w:val="20"/>
                <w:szCs w:val="20"/>
                <w:lang w:val="pt-BR"/>
              </w:rPr>
              <w:t xml:space="preserve"> </w:t>
            </w:r>
            <w:r>
              <w:rPr>
                <w:rFonts w:ascii="Verdana" w:hAnsi="Verdana"/>
                <w:color w:val="000000"/>
                <w:sz w:val="20"/>
                <w:szCs w:val="20"/>
                <w:lang w:val="pt-BR"/>
              </w:rPr>
              <w:t>meses após a 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24</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R$ 8,71</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R$ 209,04</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47</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Trigo para quibe, pacote de 500 Gramas. Validade mínima de 4 meses Após a 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18</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R$ 5,45</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R$ 98,10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color w:val="000000"/>
                <w:sz w:val="20"/>
                <w:szCs w:val="20"/>
                <w:lang w:val="pt-BR"/>
              </w:rPr>
              <w:t>48</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jc w:val="both"/>
              <w:rPr>
                <w:lang w:val="pt-BR"/>
              </w:rPr>
            </w:pPr>
            <w:r>
              <w:rPr>
                <w:rFonts w:ascii="Verdana" w:hAnsi="Verdana"/>
                <w:color w:val="000000"/>
                <w:sz w:val="20"/>
                <w:szCs w:val="20"/>
                <w:lang w:val="pt-BR"/>
              </w:rPr>
              <w:t>Canjica de milho, branco,</w:t>
            </w:r>
            <w:r>
              <w:rPr>
                <w:rFonts w:ascii="Verdana" w:hAnsi="Verdana"/>
                <w:color w:val="000000"/>
                <w:spacing w:val="1"/>
                <w:sz w:val="20"/>
                <w:szCs w:val="20"/>
                <w:lang w:val="pt-BR"/>
              </w:rPr>
              <w:t xml:space="preserve"> </w:t>
            </w:r>
            <w:r>
              <w:rPr>
                <w:rFonts w:ascii="Verdana" w:hAnsi="Verdana"/>
                <w:color w:val="000000"/>
                <w:sz w:val="20"/>
                <w:szCs w:val="20"/>
                <w:lang w:val="pt-BR"/>
              </w:rPr>
              <w:t>tipo 1, em Pacote de 500 gramas. Validade</w:t>
            </w:r>
            <w:r>
              <w:rPr>
                <w:rFonts w:ascii="Verdana" w:hAnsi="Verdana"/>
                <w:color w:val="000000"/>
                <w:spacing w:val="1"/>
                <w:sz w:val="20"/>
                <w:szCs w:val="20"/>
                <w:lang w:val="pt-BR"/>
              </w:rPr>
              <w:t xml:space="preserve"> </w:t>
            </w:r>
            <w:r>
              <w:rPr>
                <w:rFonts w:ascii="Verdana" w:hAnsi="Verdana"/>
                <w:color w:val="000000"/>
                <w:sz w:val="20"/>
                <w:szCs w:val="20"/>
                <w:lang w:val="pt-BR"/>
              </w:rPr>
              <w:t>mínima</w:t>
            </w:r>
            <w:r>
              <w:rPr>
                <w:rFonts w:ascii="Verdana" w:hAnsi="Verdana"/>
                <w:color w:val="000000"/>
                <w:spacing w:val="-3"/>
                <w:sz w:val="20"/>
                <w:szCs w:val="20"/>
                <w:lang w:val="pt-BR"/>
              </w:rPr>
              <w:t xml:space="preserve"> </w:t>
            </w:r>
            <w:r>
              <w:rPr>
                <w:rFonts w:ascii="Verdana" w:hAnsi="Verdana"/>
                <w:color w:val="000000"/>
                <w:sz w:val="20"/>
                <w:szCs w:val="20"/>
                <w:lang w:val="pt-BR"/>
              </w:rPr>
              <w:t>de</w:t>
            </w:r>
            <w:r>
              <w:rPr>
                <w:rFonts w:ascii="Verdana" w:hAnsi="Verdana"/>
                <w:color w:val="000000"/>
                <w:spacing w:val="-3"/>
                <w:sz w:val="20"/>
                <w:szCs w:val="20"/>
                <w:lang w:val="pt-BR"/>
              </w:rPr>
              <w:t xml:space="preserve"> </w:t>
            </w:r>
            <w:r>
              <w:rPr>
                <w:rFonts w:ascii="Verdana" w:hAnsi="Verdana"/>
                <w:color w:val="000000"/>
                <w:sz w:val="20"/>
                <w:szCs w:val="20"/>
                <w:lang w:val="pt-BR"/>
              </w:rPr>
              <w:t>4</w:t>
            </w:r>
            <w:r>
              <w:rPr>
                <w:rFonts w:ascii="Verdana" w:hAnsi="Verdana"/>
                <w:color w:val="000000"/>
                <w:spacing w:val="-3"/>
                <w:sz w:val="20"/>
                <w:szCs w:val="20"/>
                <w:lang w:val="pt-BR"/>
              </w:rPr>
              <w:t xml:space="preserve"> </w:t>
            </w:r>
            <w:r>
              <w:rPr>
                <w:rFonts w:ascii="Verdana" w:hAnsi="Verdana"/>
                <w:color w:val="000000"/>
                <w:sz w:val="20"/>
                <w:szCs w:val="20"/>
                <w:lang w:val="pt-BR"/>
              </w:rPr>
              <w:t>meses</w:t>
            </w:r>
            <w:r>
              <w:rPr>
                <w:rFonts w:ascii="Verdana" w:hAnsi="Verdana"/>
                <w:color w:val="000000"/>
                <w:spacing w:val="-3"/>
                <w:sz w:val="20"/>
                <w:szCs w:val="20"/>
                <w:lang w:val="pt-BR"/>
              </w:rPr>
              <w:t xml:space="preserve"> </w:t>
            </w:r>
            <w:r>
              <w:rPr>
                <w:rFonts w:ascii="Verdana" w:hAnsi="Verdana"/>
                <w:color w:val="000000"/>
                <w:sz w:val="20"/>
                <w:szCs w:val="20"/>
                <w:lang w:val="pt-BR"/>
              </w:rPr>
              <w:t>após</w:t>
            </w:r>
            <w:r>
              <w:rPr>
                <w:rFonts w:ascii="Verdana" w:hAnsi="Verdana"/>
                <w:color w:val="000000"/>
                <w:spacing w:val="-2"/>
                <w:sz w:val="20"/>
                <w:szCs w:val="20"/>
                <w:lang w:val="pt-BR"/>
              </w:rPr>
              <w:t xml:space="preserve"> </w:t>
            </w:r>
            <w:r>
              <w:rPr>
                <w:rFonts w:ascii="Verdana" w:hAnsi="Verdana"/>
                <w:color w:val="000000"/>
                <w:sz w:val="20"/>
                <w:szCs w:val="20"/>
                <w:lang w:val="pt-BR"/>
              </w:rPr>
              <w:t>a</w:t>
            </w:r>
            <w:r>
              <w:rPr>
                <w:rFonts w:ascii="Verdana" w:hAnsi="Verdana"/>
                <w:color w:val="000000"/>
                <w:spacing w:val="-3"/>
                <w:sz w:val="20"/>
                <w:szCs w:val="20"/>
                <w:lang w:val="pt-BR"/>
              </w:rPr>
              <w:t xml:space="preserve"> </w:t>
            </w:r>
            <w:r>
              <w:rPr>
                <w:rFonts w:ascii="Verdana" w:hAnsi="Verdana"/>
                <w:color w:val="000000"/>
                <w:sz w:val="20"/>
                <w:szCs w:val="20"/>
                <w:lang w:val="pt-BR"/>
              </w:rPr>
              <w:t>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12</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R$ 6,08</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R$ 72,96</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49</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sz w:val="20"/>
                <w:szCs w:val="20"/>
                <w:lang w:val="pt-BR"/>
              </w:rPr>
              <w:t>Atum em conserva, sólido em óleo, 170gr</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LATA</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R$ 8,79</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527,40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50</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sz w:val="20"/>
                <w:szCs w:val="20"/>
                <w:lang w:val="pt-BR"/>
              </w:rPr>
              <w:t>Batata palha, extrafina, sequinha E crocante, pacote de 400 g.</w:t>
            </w:r>
            <w:r>
              <w:rPr>
                <w:rFonts w:ascii="Verdana" w:hAnsi="Verdana"/>
                <w:spacing w:val="1"/>
                <w:sz w:val="20"/>
                <w:szCs w:val="20"/>
                <w:lang w:val="pt-BR"/>
              </w:rPr>
              <w:t xml:space="preserve"> </w:t>
            </w:r>
            <w:r>
              <w:rPr>
                <w:rFonts w:ascii="Verdana" w:hAnsi="Verdana"/>
                <w:sz w:val="20"/>
                <w:szCs w:val="20"/>
                <w:lang w:val="pt-BR"/>
              </w:rPr>
              <w:t>Validade</w:t>
            </w:r>
            <w:r>
              <w:rPr>
                <w:rFonts w:ascii="Verdana" w:hAnsi="Verdana"/>
                <w:spacing w:val="-3"/>
                <w:sz w:val="20"/>
                <w:szCs w:val="20"/>
                <w:lang w:val="pt-BR"/>
              </w:rPr>
              <w:t xml:space="preserve"> </w:t>
            </w:r>
            <w:r>
              <w:rPr>
                <w:rFonts w:ascii="Verdana" w:hAnsi="Verdana"/>
                <w:sz w:val="20"/>
                <w:szCs w:val="20"/>
                <w:lang w:val="pt-BR"/>
              </w:rPr>
              <w:t>mínima</w:t>
            </w:r>
            <w:r>
              <w:rPr>
                <w:rFonts w:ascii="Verdana" w:hAnsi="Verdana"/>
                <w:spacing w:val="-3"/>
                <w:sz w:val="20"/>
                <w:szCs w:val="20"/>
                <w:lang w:val="pt-BR"/>
              </w:rPr>
              <w:t xml:space="preserve"> </w:t>
            </w:r>
            <w:r>
              <w:rPr>
                <w:rFonts w:ascii="Verdana" w:hAnsi="Verdana"/>
                <w:sz w:val="20"/>
                <w:szCs w:val="20"/>
                <w:lang w:val="pt-BR"/>
              </w:rPr>
              <w:t>de</w:t>
            </w:r>
            <w:r>
              <w:rPr>
                <w:rFonts w:ascii="Verdana" w:hAnsi="Verdana"/>
                <w:spacing w:val="-3"/>
                <w:sz w:val="20"/>
                <w:szCs w:val="20"/>
                <w:lang w:val="pt-BR"/>
              </w:rPr>
              <w:t xml:space="preserve"> </w:t>
            </w:r>
            <w:r>
              <w:rPr>
                <w:rFonts w:ascii="Verdana" w:hAnsi="Verdana"/>
                <w:sz w:val="20"/>
                <w:szCs w:val="20"/>
                <w:lang w:val="pt-BR"/>
              </w:rPr>
              <w:t>4</w:t>
            </w:r>
            <w:r>
              <w:rPr>
                <w:rFonts w:ascii="Verdana" w:hAnsi="Verdana"/>
                <w:spacing w:val="-2"/>
                <w:sz w:val="20"/>
                <w:szCs w:val="20"/>
                <w:lang w:val="pt-BR"/>
              </w:rPr>
              <w:t xml:space="preserve"> </w:t>
            </w:r>
            <w:r>
              <w:rPr>
                <w:rFonts w:ascii="Verdana" w:hAnsi="Verdana"/>
                <w:sz w:val="20"/>
                <w:szCs w:val="20"/>
                <w:lang w:val="pt-BR"/>
              </w:rPr>
              <w:t>meses</w:t>
            </w:r>
            <w:r>
              <w:rPr>
                <w:rFonts w:ascii="Verdana" w:hAnsi="Verdana"/>
                <w:spacing w:val="-3"/>
                <w:sz w:val="20"/>
                <w:szCs w:val="20"/>
                <w:lang w:val="pt-BR"/>
              </w:rPr>
              <w:t xml:space="preserve"> </w:t>
            </w:r>
            <w:r>
              <w:rPr>
                <w:rFonts w:ascii="Verdana" w:hAnsi="Verdana"/>
                <w:sz w:val="20"/>
                <w:szCs w:val="20"/>
                <w:lang w:val="pt-BR"/>
              </w:rPr>
              <w:t>após</w:t>
            </w:r>
            <w:r>
              <w:rPr>
                <w:rFonts w:ascii="Verdana" w:hAnsi="Verdana"/>
                <w:spacing w:val="-3"/>
                <w:sz w:val="20"/>
                <w:szCs w:val="20"/>
                <w:lang w:val="pt-BR"/>
              </w:rPr>
              <w:t xml:space="preserve"> </w:t>
            </w:r>
            <w:r>
              <w:rPr>
                <w:rFonts w:ascii="Verdana" w:hAnsi="Verdana"/>
                <w:sz w:val="20"/>
                <w:szCs w:val="20"/>
                <w:lang w:val="pt-BR"/>
              </w:rPr>
              <w:t>a 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R$ 17,58</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R$ 1.054,80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51</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sz w:val="20"/>
                <w:szCs w:val="20"/>
                <w:lang w:val="pt-BR"/>
              </w:rPr>
              <w:t>Rosquinha de coco, pacote com 400 g apresentação: redondo sabor: coco</w:t>
            </w:r>
            <w:r>
              <w:rPr>
                <w:rFonts w:ascii="Verdana" w:hAnsi="Verdana"/>
                <w:spacing w:val="1"/>
                <w:sz w:val="20"/>
                <w:szCs w:val="20"/>
                <w:lang w:val="pt-BR"/>
              </w:rPr>
              <w:t xml:space="preserve"> </w:t>
            </w:r>
            <w:r>
              <w:rPr>
                <w:rFonts w:ascii="Verdana" w:hAnsi="Verdana"/>
                <w:sz w:val="20"/>
                <w:szCs w:val="20"/>
                <w:lang w:val="pt-BR"/>
              </w:rPr>
              <w:t>tipo: rosquinha, ingredientes: açúcar,</w:t>
            </w:r>
            <w:r>
              <w:rPr>
                <w:rFonts w:ascii="Verdana" w:hAnsi="Verdana"/>
                <w:spacing w:val="1"/>
                <w:sz w:val="20"/>
                <w:szCs w:val="20"/>
                <w:lang w:val="pt-BR"/>
              </w:rPr>
              <w:t xml:space="preserve"> </w:t>
            </w:r>
            <w:r>
              <w:rPr>
                <w:rFonts w:ascii="Verdana" w:hAnsi="Verdana"/>
                <w:sz w:val="20"/>
                <w:szCs w:val="20"/>
                <w:lang w:val="pt-BR"/>
              </w:rPr>
              <w:t>farinha de trigo e glúten características</w:t>
            </w:r>
            <w:r>
              <w:rPr>
                <w:rFonts w:ascii="Verdana" w:hAnsi="Verdana"/>
                <w:spacing w:val="1"/>
                <w:sz w:val="20"/>
                <w:szCs w:val="20"/>
                <w:lang w:val="pt-BR"/>
              </w:rPr>
              <w:t xml:space="preserve"> </w:t>
            </w:r>
            <w:r>
              <w:rPr>
                <w:rFonts w:ascii="Verdana" w:hAnsi="Verdana"/>
                <w:sz w:val="20"/>
                <w:szCs w:val="20"/>
                <w:lang w:val="pt-BR"/>
              </w:rPr>
              <w:t>adicionais: sem recheio classificação: doce</w:t>
            </w:r>
            <w:r>
              <w:rPr>
                <w:rFonts w:ascii="Verdana" w:hAnsi="Verdana"/>
                <w:spacing w:val="-43"/>
                <w:sz w:val="20"/>
                <w:szCs w:val="20"/>
                <w:lang w:val="pt-BR"/>
              </w:rPr>
              <w:t xml:space="preserve"> </w:t>
            </w:r>
            <w:r>
              <w:rPr>
                <w:rFonts w:ascii="Verdana" w:hAnsi="Verdana"/>
                <w:sz w:val="20"/>
                <w:szCs w:val="20"/>
                <w:lang w:val="pt-BR"/>
              </w:rPr>
              <w:t>aplicação: alimentação humana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140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R$ 7,11</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R$ 995,40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52</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sz w:val="20"/>
                <w:szCs w:val="20"/>
                <w:lang w:val="pt-BR"/>
              </w:rPr>
              <w:t>Catchup, tradicional, embalagem Com 390 gramas.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SACHE</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12</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R$ 6,69</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R$ 80,28</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53</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sz w:val="20"/>
                <w:szCs w:val="20"/>
                <w:lang w:val="pt-BR"/>
              </w:rPr>
              <w:t>Gelatina em pó – sabores variados Caixa com 36 embalagens com no mínimo</w:t>
            </w:r>
            <w:r>
              <w:rPr>
                <w:rFonts w:ascii="Verdana" w:hAnsi="Verdana"/>
                <w:spacing w:val="-43"/>
                <w:sz w:val="20"/>
                <w:szCs w:val="20"/>
                <w:lang w:val="pt-BR"/>
              </w:rPr>
              <w:t xml:space="preserve"> </w:t>
            </w:r>
            <w:r>
              <w:rPr>
                <w:rFonts w:ascii="Verdana" w:hAnsi="Verdana"/>
                <w:sz w:val="20"/>
                <w:szCs w:val="20"/>
                <w:lang w:val="pt-BR"/>
              </w:rPr>
              <w:t>20 gr.</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CX</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R$ 50,00</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R$ 500,00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54</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sz w:val="20"/>
                <w:szCs w:val="20"/>
                <w:lang w:val="pt-BR"/>
              </w:rPr>
              <w:t>Polpa de frutas sabores variados, Congelada. Pacote com 100 gr</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UND</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1200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R$ 2,44</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R$ 2.928,00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55</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sz w:val="20"/>
                <w:szCs w:val="20"/>
                <w:lang w:val="pt-BR"/>
              </w:rPr>
              <w:t>Paçoca, doce de amendoim, Embalada individual, em pote, com 67</w:t>
            </w:r>
            <w:r>
              <w:rPr>
                <w:rFonts w:ascii="Verdana" w:hAnsi="Verdana"/>
                <w:spacing w:val="-43"/>
                <w:sz w:val="20"/>
                <w:szCs w:val="20"/>
                <w:lang w:val="pt-BR"/>
              </w:rPr>
              <w:t xml:space="preserve"> </w:t>
            </w:r>
            <w:r>
              <w:rPr>
                <w:rFonts w:ascii="Verdana" w:hAnsi="Verdana"/>
                <w:sz w:val="20"/>
                <w:szCs w:val="20"/>
                <w:lang w:val="pt-BR"/>
              </w:rPr>
              <w:t>unidades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CX</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24</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R$ 28,60</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R$ 686,40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56</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sz w:val="20"/>
                <w:szCs w:val="20"/>
                <w:lang w:val="pt-BR"/>
              </w:rPr>
              <w:t>Azeite de oliva, extravirgem acidez Máxima 5%, embalagem 500 ml</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VD</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36</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R$ 46,49</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R$ 1.673,64</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57</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sz w:val="20"/>
                <w:szCs w:val="20"/>
                <w:lang w:val="pt-BR"/>
              </w:rPr>
              <w:t>Leite de soja sem lactose Composição:</w:t>
            </w:r>
            <w:r>
              <w:rPr>
                <w:rFonts w:ascii="Verdana" w:hAnsi="Verdana"/>
                <w:spacing w:val="1"/>
                <w:sz w:val="20"/>
                <w:szCs w:val="20"/>
                <w:lang w:val="pt-BR"/>
              </w:rPr>
              <w:t xml:space="preserve"> </w:t>
            </w:r>
            <w:r>
              <w:rPr>
                <w:rFonts w:ascii="Verdana" w:hAnsi="Verdana"/>
                <w:sz w:val="20"/>
                <w:szCs w:val="20"/>
                <w:lang w:val="pt-BR"/>
              </w:rPr>
              <w:t>mistura à base de proteína</w:t>
            </w:r>
            <w:r>
              <w:rPr>
                <w:rFonts w:ascii="Verdana" w:hAnsi="Verdana"/>
                <w:spacing w:val="1"/>
                <w:sz w:val="20"/>
                <w:szCs w:val="20"/>
                <w:lang w:val="pt-BR"/>
              </w:rPr>
              <w:t xml:space="preserve"> </w:t>
            </w:r>
            <w:r>
              <w:rPr>
                <w:rFonts w:ascii="Verdana" w:hAnsi="Verdana"/>
                <w:sz w:val="20"/>
                <w:szCs w:val="20"/>
                <w:lang w:val="pt-BR"/>
              </w:rPr>
              <w:t>isolada de soja aroma idêntico ao natural de</w:t>
            </w:r>
            <w:r>
              <w:rPr>
                <w:rFonts w:ascii="Verdana" w:hAnsi="Verdana"/>
                <w:spacing w:val="-43"/>
                <w:sz w:val="20"/>
                <w:szCs w:val="20"/>
                <w:lang w:val="pt-BR"/>
              </w:rPr>
              <w:t xml:space="preserve"> </w:t>
            </w:r>
            <w:r>
              <w:rPr>
                <w:rFonts w:ascii="Verdana" w:hAnsi="Verdana"/>
                <w:sz w:val="20"/>
                <w:szCs w:val="20"/>
                <w:lang w:val="pt-BR"/>
              </w:rPr>
              <w:t>baunilha.</w:t>
            </w:r>
            <w:r>
              <w:rPr>
                <w:rFonts w:ascii="Verdana" w:hAnsi="Verdana"/>
                <w:spacing w:val="1"/>
                <w:sz w:val="20"/>
                <w:szCs w:val="20"/>
                <w:lang w:val="pt-BR"/>
              </w:rPr>
              <w:t xml:space="preserve"> </w:t>
            </w:r>
            <w:r>
              <w:rPr>
                <w:rFonts w:ascii="Verdana" w:hAnsi="Verdana"/>
                <w:sz w:val="20"/>
                <w:szCs w:val="20"/>
                <w:lang w:val="pt-BR"/>
              </w:rPr>
              <w:t>Validade mínima de 06 meses</w:t>
            </w:r>
            <w:r>
              <w:rPr>
                <w:rFonts w:ascii="Verdana" w:hAnsi="Verdana"/>
                <w:spacing w:val="1"/>
                <w:sz w:val="20"/>
                <w:szCs w:val="20"/>
                <w:lang w:val="pt-BR"/>
              </w:rPr>
              <w:t xml:space="preserve"> </w:t>
            </w:r>
            <w:r>
              <w:rPr>
                <w:rFonts w:ascii="Verdana" w:hAnsi="Verdana"/>
                <w:sz w:val="20"/>
                <w:szCs w:val="20"/>
                <w:lang w:val="pt-BR"/>
              </w:rPr>
              <w:t>após a entrega.</w:t>
            </w:r>
          </w:p>
          <w:p>
            <w:pPr>
              <w:pStyle w:val="TableParagraph"/>
              <w:spacing w:lineRule="auto" w:line="276" w:before="0" w:after="0"/>
              <w:ind w:left="0" w:right="0"/>
              <w:rPr>
                <w:lang w:val="pt-BR"/>
              </w:rPr>
            </w:pPr>
            <w:r>
              <w:rPr>
                <w:rFonts w:ascii="Verdana" w:hAnsi="Verdana"/>
                <w:sz w:val="20"/>
                <w:szCs w:val="20"/>
                <w:lang w:val="pt-BR"/>
              </w:rPr>
              <w:t>Caixa com 06 unidades de 01 litro</w:t>
            </w:r>
          </w:p>
        </w:tc>
        <w:tc>
          <w:tcPr>
            <w:tcW w:w="795" w:type="dxa"/>
            <w:tcBorders>
              <w:left w:val="single" w:sz="2" w:space="0" w:color="000000"/>
              <w:bottom w:val="single" w:sz="2" w:space="0" w:color="000000"/>
            </w:tcBorders>
            <w:vAlign w:val="center"/>
          </w:tcPr>
          <w:p>
            <w:pPr>
              <w:pStyle w:val="TableParagraph"/>
              <w:widowControl w:val="false"/>
              <w:suppressAutoHyphens w:val="false"/>
              <w:bidi w:val="0"/>
              <w:spacing w:lineRule="auto" w:line="276" w:before="0" w:after="0"/>
              <w:ind w:hanging="0" w:left="0" w:right="0"/>
              <w:jc w:val="center"/>
              <w:rPr>
                <w:lang w:val="pt-BR"/>
              </w:rPr>
            </w:pPr>
            <w:r>
              <w:rPr>
                <w:rFonts w:ascii="Verdana" w:hAnsi="Verdana"/>
                <w:color w:val="000000"/>
                <w:sz w:val="20"/>
                <w:szCs w:val="20"/>
                <w:lang w:val="pt-BR"/>
              </w:rPr>
              <w:t>CX</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80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R$ 55,08</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R$ 4.406,40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58</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sz w:val="20"/>
                <w:szCs w:val="20"/>
                <w:lang w:val="pt-BR"/>
              </w:rPr>
              <w:t>Leite integral UHT, original, caixa com 12 und x 01 litro leite fluido origem:</w:t>
            </w:r>
            <w:r>
              <w:rPr>
                <w:rFonts w:ascii="Verdana" w:hAnsi="Verdana"/>
                <w:spacing w:val="-43"/>
                <w:sz w:val="20"/>
                <w:szCs w:val="20"/>
                <w:lang w:val="pt-BR"/>
              </w:rPr>
              <w:t xml:space="preserve"> </w:t>
            </w:r>
            <w:r>
              <w:rPr>
                <w:rFonts w:ascii="Verdana" w:hAnsi="Verdana"/>
                <w:sz w:val="20"/>
                <w:szCs w:val="20"/>
                <w:lang w:val="pt-BR"/>
              </w:rPr>
              <w:t>de vaca</w:t>
            </w:r>
            <w:r>
              <w:rPr>
                <w:rFonts w:ascii="Verdana" w:hAnsi="Verdana"/>
                <w:spacing w:val="1"/>
                <w:sz w:val="20"/>
                <w:szCs w:val="20"/>
                <w:lang w:val="pt-BR"/>
              </w:rPr>
              <w:t xml:space="preserve"> </w:t>
            </w:r>
            <w:r>
              <w:rPr>
                <w:rFonts w:ascii="Verdana" w:hAnsi="Verdana"/>
                <w:sz w:val="20"/>
                <w:szCs w:val="20"/>
                <w:lang w:val="pt-BR"/>
              </w:rPr>
              <w:t>tipo: a teor gordura: integral</w:t>
            </w:r>
            <w:r>
              <w:rPr>
                <w:rFonts w:ascii="Verdana" w:hAnsi="Verdana"/>
                <w:spacing w:val="1"/>
                <w:sz w:val="20"/>
                <w:szCs w:val="20"/>
                <w:lang w:val="pt-BR"/>
              </w:rPr>
              <w:t xml:space="preserve"> </w:t>
            </w:r>
            <w:r>
              <w:rPr>
                <w:rFonts w:ascii="Verdana" w:hAnsi="Verdana"/>
                <w:sz w:val="20"/>
                <w:szCs w:val="20"/>
                <w:lang w:val="pt-BR"/>
              </w:rPr>
              <w:t>processamento: UHT Tipo restrição: zero lactose</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CX</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80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R$ 53,12</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R$ 4.249,60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59</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sz w:val="20"/>
                <w:szCs w:val="20"/>
                <w:lang w:val="pt-BR"/>
              </w:rPr>
              <w:t>Tapioca, massa pronta para Tapioca, feita a partir da fécula da</w:t>
            </w:r>
            <w:r>
              <w:rPr>
                <w:rFonts w:ascii="Verdana" w:hAnsi="Verdana"/>
                <w:spacing w:val="-43"/>
                <w:sz w:val="20"/>
                <w:szCs w:val="20"/>
                <w:lang w:val="pt-BR"/>
              </w:rPr>
              <w:t xml:space="preserve"> </w:t>
            </w:r>
            <w:r>
              <w:rPr>
                <w:rFonts w:ascii="Verdana" w:hAnsi="Verdana"/>
                <w:sz w:val="20"/>
                <w:szCs w:val="20"/>
                <w:lang w:val="pt-BR"/>
              </w:rPr>
              <w:t>mandioca, goma de mandioca Hidratada pacote com 500 gramas.</w:t>
            </w:r>
            <w:r>
              <w:rPr>
                <w:rFonts w:ascii="Verdana" w:hAnsi="Verdana"/>
                <w:spacing w:val="-43"/>
                <w:sz w:val="20"/>
                <w:szCs w:val="20"/>
                <w:lang w:val="pt-BR"/>
              </w:rPr>
              <w:t xml:space="preserve"> </w:t>
            </w:r>
            <w:r>
              <w:rPr>
                <w:rFonts w:ascii="Verdana" w:hAnsi="Verdana"/>
                <w:sz w:val="20"/>
                <w:szCs w:val="20"/>
                <w:lang w:val="pt-BR"/>
              </w:rPr>
              <w:t>Validade mínima de 4 meses após a</w:t>
            </w:r>
            <w:r>
              <w:rPr>
                <w:rFonts w:ascii="Verdana" w:hAnsi="Verdana"/>
                <w:spacing w:val="1"/>
                <w:sz w:val="20"/>
                <w:szCs w:val="20"/>
                <w:lang w:val="pt-BR"/>
              </w:rPr>
              <w:t xml:space="preserve"> </w:t>
            </w:r>
            <w:r>
              <w:rPr>
                <w:rFonts w:ascii="Verdana" w:hAnsi="Verdana"/>
                <w:sz w:val="20"/>
                <w:szCs w:val="20"/>
                <w:lang w:val="pt-BR"/>
              </w:rPr>
              <w:t>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6,620</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397,20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60</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sz w:val="20"/>
                <w:szCs w:val="20"/>
                <w:lang w:val="pt-BR"/>
              </w:rPr>
              <w:t>Açafrão condimento tipo: açafrão Apresentação: pó</w:t>
            </w:r>
            <w:r>
              <w:rPr>
                <w:rFonts w:ascii="Verdana" w:hAnsi="Verdana"/>
                <w:spacing w:val="1"/>
                <w:sz w:val="20"/>
                <w:szCs w:val="20"/>
                <w:lang w:val="pt-BR"/>
              </w:rPr>
              <w:t xml:space="preserve"> </w:t>
            </w:r>
            <w:r>
              <w:rPr>
                <w:rFonts w:ascii="Verdana" w:hAnsi="Verdana"/>
                <w:sz w:val="20"/>
                <w:szCs w:val="20"/>
                <w:lang w:val="pt-BR"/>
              </w:rPr>
              <w:t>pacote</w:t>
            </w:r>
            <w:r>
              <w:rPr>
                <w:rFonts w:ascii="Verdana" w:hAnsi="Verdana"/>
                <w:spacing w:val="-8"/>
                <w:sz w:val="20"/>
                <w:szCs w:val="20"/>
                <w:lang w:val="pt-BR"/>
              </w:rPr>
              <w:t xml:space="preserve"> </w:t>
            </w:r>
            <w:r>
              <w:rPr>
                <w:rFonts w:ascii="Verdana" w:hAnsi="Verdana"/>
                <w:sz w:val="20"/>
                <w:szCs w:val="20"/>
                <w:lang w:val="pt-BR"/>
              </w:rPr>
              <w:t>50</w:t>
            </w:r>
            <w:r>
              <w:rPr>
                <w:rFonts w:ascii="Verdana" w:hAnsi="Verdana"/>
                <w:spacing w:val="-7"/>
                <w:sz w:val="20"/>
                <w:szCs w:val="20"/>
                <w:lang w:val="pt-BR"/>
              </w:rPr>
              <w:t xml:space="preserve"> </w:t>
            </w:r>
            <w:r>
              <w:rPr>
                <w:rFonts w:ascii="Verdana" w:hAnsi="Verdana"/>
                <w:sz w:val="20"/>
                <w:szCs w:val="20"/>
                <w:lang w:val="pt-BR"/>
              </w:rPr>
              <w:t>gramas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UND</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50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8,740</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437,00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61</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sz w:val="20"/>
                <w:szCs w:val="20"/>
                <w:lang w:val="pt-BR"/>
              </w:rPr>
              <w:t>Chimichurri pacote com 50 gr</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30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9,460</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283,80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62</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sz w:val="20"/>
                <w:szCs w:val="20"/>
                <w:lang w:val="pt-BR"/>
              </w:rPr>
              <w:t>Sorvete cremoso tipo: sorvete – base Leite sabor: variado forma apresentação:</w:t>
            </w:r>
            <w:r>
              <w:rPr>
                <w:rFonts w:ascii="Verdana" w:hAnsi="Verdana"/>
                <w:spacing w:val="-43"/>
                <w:sz w:val="20"/>
                <w:szCs w:val="20"/>
                <w:lang w:val="pt-BR"/>
              </w:rPr>
              <w:t xml:space="preserve"> </w:t>
            </w:r>
            <w:r>
              <w:rPr>
                <w:rFonts w:ascii="Verdana" w:hAnsi="Verdana"/>
                <w:sz w:val="20"/>
                <w:szCs w:val="20"/>
                <w:lang w:val="pt-BR"/>
              </w:rPr>
              <w:t>massa / cremoso Pote com 02 litros</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POTE</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36</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24,68</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888,48</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63</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color w:val="000000"/>
                <w:sz w:val="20"/>
                <w:szCs w:val="20"/>
                <w:lang w:val="pt-BR"/>
              </w:rPr>
              <w:t>Presunto cozido frios variedade: Presunto de pernil</w:t>
            </w:r>
            <w:r>
              <w:rPr>
                <w:rFonts w:ascii="Verdana" w:hAnsi="Verdana"/>
                <w:color w:val="000000"/>
                <w:spacing w:val="1"/>
                <w:sz w:val="20"/>
                <w:szCs w:val="20"/>
                <w:lang w:val="pt-BR"/>
              </w:rPr>
              <w:t xml:space="preserve"> </w:t>
            </w:r>
            <w:r>
              <w:rPr>
                <w:rFonts w:ascii="Verdana" w:hAnsi="Verdana"/>
                <w:color w:val="000000"/>
                <w:sz w:val="20"/>
                <w:szCs w:val="20"/>
                <w:lang w:val="pt-BR"/>
              </w:rPr>
              <w:t>tipo preparação:</w:t>
            </w:r>
            <w:r>
              <w:rPr>
                <w:rFonts w:ascii="Verdana" w:hAnsi="Verdana"/>
                <w:color w:val="000000"/>
                <w:spacing w:val="1"/>
                <w:sz w:val="20"/>
                <w:szCs w:val="20"/>
                <w:lang w:val="pt-BR"/>
              </w:rPr>
              <w:t xml:space="preserve"> </w:t>
            </w:r>
            <w:r>
              <w:rPr>
                <w:rFonts w:ascii="Verdana" w:hAnsi="Verdana"/>
                <w:color w:val="000000"/>
                <w:sz w:val="20"/>
                <w:szCs w:val="20"/>
                <w:lang w:val="pt-BR"/>
              </w:rPr>
              <w:t>defumado</w:t>
            </w:r>
            <w:r>
              <w:rPr>
                <w:rFonts w:ascii="Verdana" w:hAnsi="Verdana"/>
                <w:color w:val="000000"/>
                <w:spacing w:val="-6"/>
                <w:sz w:val="20"/>
                <w:szCs w:val="20"/>
                <w:lang w:val="pt-BR"/>
              </w:rPr>
              <w:t xml:space="preserve"> </w:t>
            </w:r>
            <w:r>
              <w:rPr>
                <w:rFonts w:ascii="Verdana" w:hAnsi="Verdana"/>
                <w:color w:val="000000"/>
                <w:sz w:val="20"/>
                <w:szCs w:val="20"/>
                <w:lang w:val="pt-BR"/>
              </w:rPr>
              <w:t>apresentação:</w:t>
            </w:r>
            <w:r>
              <w:rPr>
                <w:rFonts w:ascii="Verdana" w:hAnsi="Verdana"/>
                <w:color w:val="000000"/>
                <w:spacing w:val="-6"/>
                <w:sz w:val="20"/>
                <w:szCs w:val="20"/>
                <w:lang w:val="pt-BR"/>
              </w:rPr>
              <w:t xml:space="preserve"> </w:t>
            </w:r>
            <w:r>
              <w:rPr>
                <w:rFonts w:ascii="Verdana" w:hAnsi="Verdana"/>
                <w:color w:val="000000"/>
                <w:sz w:val="20"/>
                <w:szCs w:val="20"/>
                <w:lang w:val="pt-BR"/>
              </w:rPr>
              <w:t>peça</w:t>
            </w:r>
            <w:r>
              <w:rPr>
                <w:rFonts w:ascii="Verdana" w:hAnsi="Verdana"/>
                <w:color w:val="000000"/>
                <w:spacing w:val="-6"/>
                <w:sz w:val="20"/>
                <w:szCs w:val="20"/>
                <w:lang w:val="pt-BR"/>
              </w:rPr>
              <w:t xml:space="preserve"> </w:t>
            </w:r>
            <w:r>
              <w:rPr>
                <w:rFonts w:ascii="Verdana" w:hAnsi="Verdana"/>
                <w:color w:val="000000"/>
                <w:sz w:val="20"/>
                <w:szCs w:val="20"/>
                <w:lang w:val="pt-BR"/>
              </w:rPr>
              <w:t>inteira</w:t>
            </w:r>
          </w:p>
          <w:p>
            <w:pPr>
              <w:pStyle w:val="TableParagraph"/>
              <w:spacing w:lineRule="auto" w:line="276" w:before="0" w:after="0"/>
              <w:ind w:left="0" w:right="0"/>
              <w:rPr>
                <w:lang w:val="pt-BR"/>
              </w:rPr>
            </w:pPr>
            <w:r>
              <w:rPr>
                <w:rFonts w:ascii="Verdana" w:hAnsi="Verdana"/>
                <w:color w:val="000000"/>
                <w:sz w:val="20"/>
                <w:szCs w:val="20"/>
                <w:lang w:val="pt-BR"/>
              </w:rPr>
              <w:t>Estado de conservação: resfriado(a)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24</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R$ 38,86</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R$ 932,64</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64</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color w:val="000000"/>
                <w:sz w:val="20"/>
                <w:szCs w:val="20"/>
                <w:lang w:val="pt-BR"/>
              </w:rPr>
              <w:t>Carne moída bovina carne bovina in</w:t>
            </w:r>
          </w:p>
          <w:p>
            <w:pPr>
              <w:pStyle w:val="TableParagraph"/>
              <w:spacing w:lineRule="auto" w:line="276" w:before="0" w:after="0"/>
              <w:ind w:left="0" w:right="0"/>
              <w:rPr>
                <w:lang w:val="pt-BR"/>
              </w:rPr>
            </w:pPr>
            <w:r>
              <w:rPr>
                <w:rFonts w:ascii="Verdana" w:hAnsi="Verdana"/>
                <w:color w:val="000000"/>
                <w:sz w:val="20"/>
                <w:szCs w:val="20"/>
                <w:lang w:val="pt-BR"/>
              </w:rPr>
              <w:t>Natura tipo corte: acém apresentação:</w:t>
            </w:r>
            <w:r>
              <w:rPr>
                <w:rFonts w:ascii="Verdana" w:hAnsi="Verdana"/>
                <w:color w:val="000000"/>
                <w:spacing w:val="-43"/>
                <w:sz w:val="20"/>
                <w:szCs w:val="20"/>
                <w:lang w:val="pt-BR"/>
              </w:rPr>
              <w:t xml:space="preserve"> </w:t>
            </w:r>
            <w:r>
              <w:rPr>
                <w:rFonts w:ascii="Verdana" w:hAnsi="Verdana"/>
                <w:color w:val="000000"/>
                <w:sz w:val="20"/>
                <w:szCs w:val="20"/>
                <w:lang w:val="pt-BR"/>
              </w:rPr>
              <w:t>moída estado de conservação:</w:t>
            </w:r>
            <w:r>
              <w:rPr>
                <w:rFonts w:ascii="Verdana" w:hAnsi="Verdana"/>
                <w:color w:val="000000"/>
                <w:spacing w:val="1"/>
                <w:sz w:val="20"/>
                <w:szCs w:val="20"/>
                <w:lang w:val="pt-BR"/>
              </w:rPr>
              <w:t xml:space="preserve"> </w:t>
            </w:r>
            <w:r>
              <w:rPr>
                <w:rFonts w:ascii="Verdana" w:hAnsi="Verdana"/>
                <w:color w:val="000000"/>
                <w:sz w:val="20"/>
                <w:szCs w:val="20"/>
                <w:lang w:val="pt-BR"/>
              </w:rPr>
              <w:t>congelado(a)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300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R$ 24,91</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R$ 7.473,00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65</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color w:val="000000"/>
                <w:sz w:val="20"/>
                <w:szCs w:val="20"/>
                <w:lang w:val="pt-BR"/>
              </w:rPr>
              <w:t>Charque bovino dianteiro em pct c 1 Kg carne salgada tipo corte: traseiro</w:t>
            </w:r>
            <w:r>
              <w:rPr>
                <w:rFonts w:ascii="Verdana" w:hAnsi="Verdana"/>
                <w:color w:val="000000"/>
                <w:spacing w:val="1"/>
                <w:sz w:val="20"/>
                <w:szCs w:val="20"/>
                <w:lang w:val="pt-BR"/>
              </w:rPr>
              <w:t xml:space="preserve"> </w:t>
            </w:r>
            <w:r>
              <w:rPr>
                <w:rFonts w:ascii="Verdana" w:hAnsi="Verdana"/>
                <w:color w:val="000000"/>
                <w:sz w:val="20"/>
                <w:szCs w:val="20"/>
                <w:lang w:val="pt-BR"/>
              </w:rPr>
              <w:t>(jerked beef) origem: bovina apresentação:</w:t>
            </w:r>
            <w:r>
              <w:rPr>
                <w:rFonts w:ascii="Verdana" w:hAnsi="Verdana"/>
                <w:color w:val="000000"/>
                <w:spacing w:val="-43"/>
                <w:sz w:val="20"/>
                <w:szCs w:val="20"/>
                <w:lang w:val="pt-BR"/>
              </w:rPr>
              <w:t xml:space="preserve"> </w:t>
            </w:r>
            <w:r>
              <w:rPr>
                <w:rFonts w:ascii="Verdana" w:hAnsi="Verdana"/>
                <w:color w:val="000000"/>
                <w:sz w:val="20"/>
                <w:szCs w:val="20"/>
                <w:lang w:val="pt-BR"/>
              </w:rPr>
              <w:t>em mantas estado de conservação:</w:t>
            </w:r>
            <w:r>
              <w:rPr>
                <w:rFonts w:ascii="Verdana" w:hAnsi="Verdana"/>
                <w:color w:val="000000"/>
                <w:spacing w:val="1"/>
                <w:sz w:val="20"/>
                <w:szCs w:val="20"/>
                <w:lang w:val="pt-BR"/>
              </w:rPr>
              <w:t xml:space="preserve"> </w:t>
            </w:r>
            <w:r>
              <w:rPr>
                <w:rFonts w:ascii="Verdana" w:hAnsi="Verdana"/>
                <w:color w:val="000000"/>
                <w:sz w:val="20"/>
                <w:szCs w:val="20"/>
                <w:lang w:val="pt-BR"/>
              </w:rPr>
              <w:t>seco(a)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80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R$ 41,13</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R$ 3.290,40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66</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color w:val="000000"/>
                <w:sz w:val="20"/>
                <w:szCs w:val="20"/>
                <w:lang w:val="pt-BR"/>
              </w:rPr>
              <w:t>Sobrecoxa de frango carne de ave in Natura tipo animal: frango tipo corte: coxa e</w:t>
            </w:r>
            <w:r>
              <w:rPr>
                <w:rFonts w:ascii="Verdana" w:hAnsi="Verdana"/>
                <w:color w:val="000000"/>
                <w:spacing w:val="-43"/>
                <w:sz w:val="20"/>
                <w:szCs w:val="20"/>
                <w:lang w:val="pt-BR"/>
              </w:rPr>
              <w:t xml:space="preserve"> </w:t>
            </w:r>
            <w:r>
              <w:rPr>
                <w:rFonts w:ascii="Verdana" w:hAnsi="Verdana"/>
                <w:color w:val="000000"/>
                <w:sz w:val="20"/>
                <w:szCs w:val="20"/>
                <w:lang w:val="pt-BR"/>
              </w:rPr>
              <w:t>sobrecoxa apresentação: inteiro estado de Conservação: resfriado(a) processamento:</w:t>
            </w:r>
            <w:r>
              <w:rPr>
                <w:rFonts w:ascii="Verdana" w:hAnsi="Verdana"/>
                <w:color w:val="000000"/>
                <w:spacing w:val="-43"/>
                <w:sz w:val="20"/>
                <w:szCs w:val="20"/>
                <w:lang w:val="pt-BR"/>
              </w:rPr>
              <w:t xml:space="preserve"> </w:t>
            </w:r>
            <w:r>
              <w:rPr>
                <w:rFonts w:ascii="Verdana" w:hAnsi="Verdana"/>
                <w:color w:val="000000"/>
                <w:sz w:val="20"/>
                <w:szCs w:val="20"/>
                <w:lang w:val="pt-BR"/>
              </w:rPr>
              <w:t>com pele, com osso.</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300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R$ 12,15</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R$ 3.645,00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67</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color w:val="000000"/>
                <w:sz w:val="20"/>
                <w:szCs w:val="20"/>
                <w:lang w:val="pt-BR"/>
              </w:rPr>
              <w:t>Filé de peito de frango carne de ave in</w:t>
            </w:r>
            <w:r>
              <w:rPr>
                <w:rFonts w:ascii="Verdana" w:hAnsi="Verdana"/>
                <w:color w:val="000000"/>
                <w:spacing w:val="-43"/>
                <w:sz w:val="20"/>
                <w:szCs w:val="20"/>
                <w:lang w:val="pt-BR"/>
              </w:rPr>
              <w:t xml:space="preserve"> </w:t>
            </w:r>
            <w:r>
              <w:rPr>
                <w:rFonts w:ascii="Verdana" w:hAnsi="Verdana"/>
                <w:color w:val="000000"/>
                <w:sz w:val="20"/>
                <w:szCs w:val="20"/>
                <w:lang w:val="pt-BR"/>
              </w:rPr>
              <w:t>natura tipo animal: frango tipo corte: peito</w:t>
            </w:r>
            <w:r>
              <w:rPr>
                <w:rFonts w:ascii="Verdana" w:hAnsi="Verdana"/>
                <w:color w:val="000000"/>
                <w:spacing w:val="1"/>
                <w:sz w:val="20"/>
                <w:szCs w:val="20"/>
                <w:lang w:val="pt-BR"/>
              </w:rPr>
              <w:t xml:space="preserve"> </w:t>
            </w:r>
            <w:r>
              <w:rPr>
                <w:rFonts w:ascii="Verdana" w:hAnsi="Verdana"/>
                <w:color w:val="000000"/>
                <w:sz w:val="20"/>
                <w:szCs w:val="20"/>
                <w:lang w:val="pt-BR"/>
              </w:rPr>
              <w:t>apresentação: inteiro estado de conservação: congelado(a) processamento:</w:t>
            </w:r>
            <w:r>
              <w:rPr>
                <w:rFonts w:ascii="Verdana" w:hAnsi="Verdana"/>
                <w:color w:val="000000"/>
                <w:spacing w:val="-43"/>
                <w:sz w:val="20"/>
                <w:szCs w:val="20"/>
                <w:lang w:val="pt-BR"/>
              </w:rPr>
              <w:t xml:space="preserve"> </w:t>
            </w:r>
            <w:r>
              <w:rPr>
                <w:rFonts w:ascii="Verdana" w:hAnsi="Verdana"/>
                <w:color w:val="000000"/>
                <w:sz w:val="20"/>
                <w:szCs w:val="20"/>
                <w:lang w:val="pt-BR"/>
              </w:rPr>
              <w:t>sem pele, sem osso</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300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R$ 19,49</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R$ 5.847,00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68</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color w:val="000000"/>
                <w:sz w:val="20"/>
                <w:szCs w:val="20"/>
                <w:lang w:val="pt-BR"/>
              </w:rPr>
              <w:t>Peixe tilápia, cortado em filé, sem Pele e sem espinha, congelado.</w:t>
            </w:r>
            <w:r>
              <w:rPr>
                <w:rFonts w:ascii="Verdana" w:hAnsi="Verdana"/>
                <w:color w:val="000000"/>
                <w:spacing w:val="1"/>
                <w:sz w:val="20"/>
                <w:szCs w:val="20"/>
                <w:lang w:val="pt-BR"/>
              </w:rPr>
              <w:t xml:space="preserve"> </w:t>
            </w:r>
            <w:r>
              <w:rPr>
                <w:rFonts w:ascii="Verdana" w:hAnsi="Verdana"/>
                <w:color w:val="000000"/>
                <w:sz w:val="20"/>
                <w:szCs w:val="20"/>
                <w:lang w:val="pt-BR"/>
              </w:rPr>
              <w:t>Validade</w:t>
            </w:r>
            <w:r>
              <w:rPr>
                <w:rFonts w:ascii="Verdana" w:hAnsi="Verdana"/>
                <w:color w:val="000000"/>
                <w:spacing w:val="-3"/>
                <w:sz w:val="20"/>
                <w:szCs w:val="20"/>
                <w:lang w:val="pt-BR"/>
              </w:rPr>
              <w:t xml:space="preserve"> </w:t>
            </w:r>
            <w:r>
              <w:rPr>
                <w:rFonts w:ascii="Verdana" w:hAnsi="Verdana"/>
                <w:color w:val="000000"/>
                <w:sz w:val="20"/>
                <w:szCs w:val="20"/>
                <w:lang w:val="pt-BR"/>
              </w:rPr>
              <w:t>mínima</w:t>
            </w:r>
            <w:r>
              <w:rPr>
                <w:rFonts w:ascii="Verdana" w:hAnsi="Verdana"/>
                <w:color w:val="000000"/>
                <w:spacing w:val="-3"/>
                <w:sz w:val="20"/>
                <w:szCs w:val="20"/>
                <w:lang w:val="pt-BR"/>
              </w:rPr>
              <w:t xml:space="preserve"> </w:t>
            </w:r>
            <w:r>
              <w:rPr>
                <w:rFonts w:ascii="Verdana" w:hAnsi="Verdana"/>
                <w:color w:val="000000"/>
                <w:sz w:val="20"/>
                <w:szCs w:val="20"/>
                <w:lang w:val="pt-BR"/>
              </w:rPr>
              <w:t>de</w:t>
            </w:r>
            <w:r>
              <w:rPr>
                <w:rFonts w:ascii="Verdana" w:hAnsi="Verdana"/>
                <w:color w:val="000000"/>
                <w:spacing w:val="-3"/>
                <w:sz w:val="20"/>
                <w:szCs w:val="20"/>
                <w:lang w:val="pt-BR"/>
              </w:rPr>
              <w:t xml:space="preserve"> </w:t>
            </w:r>
            <w:r>
              <w:rPr>
                <w:rFonts w:ascii="Verdana" w:hAnsi="Verdana"/>
                <w:color w:val="000000"/>
                <w:sz w:val="20"/>
                <w:szCs w:val="20"/>
                <w:lang w:val="pt-BR"/>
              </w:rPr>
              <w:t>04</w:t>
            </w:r>
            <w:r>
              <w:rPr>
                <w:rFonts w:ascii="Verdana" w:hAnsi="Verdana"/>
                <w:color w:val="000000"/>
                <w:spacing w:val="-3"/>
                <w:sz w:val="20"/>
                <w:szCs w:val="20"/>
                <w:lang w:val="pt-BR"/>
              </w:rPr>
              <w:t xml:space="preserve"> </w:t>
            </w:r>
            <w:r>
              <w:rPr>
                <w:rFonts w:ascii="Verdana" w:hAnsi="Verdana"/>
                <w:color w:val="000000"/>
                <w:sz w:val="20"/>
                <w:szCs w:val="20"/>
                <w:lang w:val="pt-BR"/>
              </w:rPr>
              <w:t>meses</w:t>
            </w:r>
            <w:r>
              <w:rPr>
                <w:rFonts w:ascii="Verdana" w:hAnsi="Verdana"/>
                <w:color w:val="000000"/>
                <w:spacing w:val="-3"/>
                <w:sz w:val="20"/>
                <w:szCs w:val="20"/>
                <w:lang w:val="pt-BR"/>
              </w:rPr>
              <w:t xml:space="preserve"> </w:t>
            </w:r>
            <w:r>
              <w:rPr>
                <w:rFonts w:ascii="Verdana" w:hAnsi="Verdana"/>
                <w:color w:val="000000"/>
                <w:sz w:val="20"/>
                <w:szCs w:val="20"/>
                <w:lang w:val="pt-BR"/>
              </w:rPr>
              <w:t>após</w:t>
            </w:r>
            <w:r>
              <w:rPr>
                <w:rFonts w:ascii="Verdana" w:hAnsi="Verdana"/>
                <w:color w:val="000000"/>
                <w:spacing w:val="-3"/>
                <w:sz w:val="20"/>
                <w:szCs w:val="20"/>
                <w:lang w:val="pt-BR"/>
              </w:rPr>
              <w:t xml:space="preserve"> </w:t>
            </w:r>
            <w:r>
              <w:rPr>
                <w:rFonts w:ascii="Verdana" w:hAnsi="Verdana"/>
                <w:color w:val="000000"/>
                <w:sz w:val="20"/>
                <w:szCs w:val="20"/>
                <w:lang w:val="pt-BR"/>
              </w:rPr>
              <w:t>a entrega.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100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R$ 45,88</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R$ 4.588,00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69</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color w:val="000000"/>
                <w:sz w:val="20"/>
                <w:szCs w:val="20"/>
                <w:lang w:val="pt-BR"/>
              </w:rPr>
              <w:t>Linguiça tipo calabresa fina, defumada, pacote com 500 gr.</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PCT</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60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R$ 16,08</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R$ 964,80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70</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color w:val="000000"/>
                <w:sz w:val="20"/>
                <w:szCs w:val="20"/>
                <w:lang w:val="pt-BR"/>
              </w:rPr>
              <w:t>Salsicha tipo hot dog</w:t>
            </w:r>
            <w:r>
              <w:rPr>
                <w:rFonts w:ascii="Verdana" w:hAnsi="Verdana"/>
                <w:color w:val="000000"/>
                <w:spacing w:val="1"/>
                <w:sz w:val="20"/>
                <w:szCs w:val="20"/>
                <w:lang w:val="pt-BR"/>
              </w:rPr>
              <w:t xml:space="preserve"> </w:t>
            </w:r>
            <w:r>
              <w:rPr>
                <w:rFonts w:ascii="Verdana" w:hAnsi="Verdana"/>
                <w:color w:val="000000"/>
                <w:sz w:val="20"/>
                <w:szCs w:val="20"/>
                <w:lang w:val="pt-BR"/>
              </w:rPr>
              <w:t>embutido, preparação: cozida. Estado de conservação: congelado(a)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40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R$ 15,92</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R$ 636,80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71</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color w:val="000000"/>
                <w:sz w:val="20"/>
                <w:szCs w:val="20"/>
                <w:lang w:val="pt-BR"/>
              </w:rPr>
              <w:t>Lombo suíno, congelado carne suína In natura tipo corte: lombo apresentação:</w:t>
            </w:r>
            <w:r>
              <w:rPr>
                <w:rFonts w:ascii="Verdana" w:hAnsi="Verdana"/>
                <w:color w:val="000000"/>
                <w:spacing w:val="-43"/>
                <w:sz w:val="20"/>
                <w:szCs w:val="20"/>
                <w:lang w:val="pt-BR"/>
              </w:rPr>
              <w:t xml:space="preserve"> </w:t>
            </w:r>
            <w:r>
              <w:rPr>
                <w:rFonts w:ascii="Verdana" w:hAnsi="Verdana"/>
                <w:color w:val="000000"/>
                <w:sz w:val="20"/>
                <w:szCs w:val="20"/>
                <w:lang w:val="pt-BR"/>
              </w:rPr>
              <w:t>peça inteira estado de conservação:</w:t>
            </w:r>
            <w:r>
              <w:rPr>
                <w:rFonts w:ascii="Verdana" w:hAnsi="Verdana"/>
                <w:color w:val="000000"/>
                <w:spacing w:val="1"/>
                <w:sz w:val="20"/>
                <w:szCs w:val="20"/>
                <w:lang w:val="pt-BR"/>
              </w:rPr>
              <w:t xml:space="preserve"> c</w:t>
            </w:r>
            <w:r>
              <w:rPr>
                <w:rFonts w:ascii="Verdana" w:hAnsi="Verdana"/>
                <w:color w:val="000000"/>
                <w:sz w:val="20"/>
                <w:szCs w:val="20"/>
                <w:lang w:val="pt-BR"/>
              </w:rPr>
              <w:t>ongelado(a)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80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R$ 25,10</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R$ 2.008,00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72</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color w:val="000000"/>
                <w:sz w:val="20"/>
                <w:szCs w:val="20"/>
                <w:lang w:val="pt-BR"/>
              </w:rPr>
              <w:t>Bacalhau peixe in natura variedade: Bacalhau tipo corte: lombo apresentação:</w:t>
            </w:r>
            <w:r>
              <w:rPr>
                <w:rFonts w:ascii="Verdana" w:hAnsi="Verdana"/>
                <w:color w:val="000000"/>
                <w:spacing w:val="-43"/>
                <w:sz w:val="20"/>
                <w:szCs w:val="20"/>
                <w:lang w:val="pt-BR"/>
              </w:rPr>
              <w:t xml:space="preserve"> </w:t>
            </w:r>
            <w:r>
              <w:rPr>
                <w:rFonts w:ascii="Verdana" w:hAnsi="Verdana"/>
                <w:color w:val="000000"/>
                <w:sz w:val="20"/>
                <w:szCs w:val="20"/>
                <w:lang w:val="pt-BR"/>
              </w:rPr>
              <w:t>sem pele, sem espinha Estado de conservação: congelado(a)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40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R$ 110,32</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R$ 4.412,80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73</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color w:val="000000"/>
                <w:sz w:val="20"/>
                <w:szCs w:val="20"/>
                <w:lang w:val="pt-BR"/>
              </w:rPr>
              <w:t>Costela suína congelada carne Suína in natura tipo corte: costela/costelinha</w:t>
            </w:r>
            <w:r>
              <w:rPr>
                <w:rFonts w:ascii="Verdana" w:hAnsi="Verdana"/>
                <w:color w:val="000000"/>
                <w:spacing w:val="-43"/>
                <w:sz w:val="20"/>
                <w:szCs w:val="20"/>
                <w:lang w:val="pt-BR"/>
              </w:rPr>
              <w:t xml:space="preserve"> </w:t>
            </w:r>
            <w:r>
              <w:rPr>
                <w:rFonts w:ascii="Verdana" w:hAnsi="Verdana"/>
                <w:color w:val="000000"/>
                <w:sz w:val="20"/>
                <w:szCs w:val="20"/>
                <w:lang w:val="pt-BR"/>
              </w:rPr>
              <w:t>apresentação: cortada estado de</w:t>
            </w:r>
            <w:r>
              <w:rPr>
                <w:rFonts w:ascii="Verdana" w:hAnsi="Verdana"/>
                <w:color w:val="000000"/>
                <w:spacing w:val="1"/>
                <w:sz w:val="20"/>
                <w:szCs w:val="20"/>
                <w:lang w:val="pt-BR"/>
              </w:rPr>
              <w:t xml:space="preserve"> </w:t>
            </w:r>
            <w:r>
              <w:rPr>
                <w:rFonts w:ascii="Verdana" w:hAnsi="Verdana"/>
                <w:color w:val="000000"/>
                <w:sz w:val="20"/>
                <w:szCs w:val="20"/>
                <w:lang w:val="pt-BR"/>
              </w:rPr>
              <w:t>conservação: resfriado(a)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80</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R$ 27,99</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R$ 2.239,20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74</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color w:val="000000"/>
                <w:sz w:val="20"/>
                <w:szCs w:val="20"/>
                <w:lang w:val="pt-BR"/>
              </w:rPr>
              <w:t>Carne bovina de 1ª qualidade sem Aponeurose e gordura congelado Carne bovina in natura tipo corte: miolo ou</w:t>
            </w:r>
            <w:r>
              <w:rPr>
                <w:rFonts w:ascii="Verdana" w:hAnsi="Verdana"/>
                <w:color w:val="000000"/>
                <w:spacing w:val="-43"/>
                <w:sz w:val="20"/>
                <w:szCs w:val="20"/>
                <w:lang w:val="pt-BR"/>
              </w:rPr>
              <w:t xml:space="preserve"> </w:t>
            </w:r>
            <w:r>
              <w:rPr>
                <w:rFonts w:ascii="Verdana" w:hAnsi="Verdana"/>
                <w:color w:val="000000"/>
                <w:sz w:val="20"/>
                <w:szCs w:val="20"/>
                <w:lang w:val="pt-BR"/>
              </w:rPr>
              <w:t>coração da alcatra apresentação: peça Inteira estado de conservação: resfriado(a)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225</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R$ 41,08</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R$ 9.243,00</w:t>
            </w:r>
          </w:p>
        </w:tc>
      </w:tr>
      <w:tr>
        <w:trPr/>
        <w:tc>
          <w:tcPr>
            <w:tcW w:w="794" w:type="dxa"/>
            <w:tcBorders>
              <w:left w:val="single" w:sz="2" w:space="0" w:color="000000"/>
              <w:bottom w:val="single" w:sz="2" w:space="0" w:color="000000"/>
            </w:tcBorders>
            <w:vAlign w:val="center"/>
          </w:tcPr>
          <w:p>
            <w:pPr>
              <w:pStyle w:val="Contedodatabela"/>
              <w:widowControl w:val="false"/>
              <w:spacing w:lineRule="auto" w:line="276" w:before="0" w:after="0"/>
              <w:ind w:left="0" w:right="0"/>
              <w:jc w:val="center"/>
              <w:rPr>
                <w:lang w:val="pt-BR"/>
              </w:rPr>
            </w:pPr>
            <w:r>
              <w:rPr>
                <w:rFonts w:ascii="Verdana" w:hAnsi="Verdana"/>
                <w:sz w:val="20"/>
                <w:szCs w:val="20"/>
                <w:lang w:val="pt-BR"/>
              </w:rPr>
              <w:t>75</w:t>
            </w:r>
          </w:p>
        </w:tc>
        <w:tc>
          <w:tcPr>
            <w:tcW w:w="3916" w:type="dxa"/>
            <w:tcBorders>
              <w:left w:val="single" w:sz="2" w:space="0" w:color="000000"/>
              <w:bottom w:val="single" w:sz="2" w:space="0" w:color="000000"/>
            </w:tcBorders>
            <w:vAlign w:val="center"/>
          </w:tcPr>
          <w:p>
            <w:pPr>
              <w:pStyle w:val="TableParagraph"/>
              <w:spacing w:lineRule="auto" w:line="276" w:before="0" w:after="0"/>
              <w:ind w:left="0" w:right="0"/>
              <w:rPr>
                <w:lang w:val="pt-BR"/>
              </w:rPr>
            </w:pPr>
            <w:r>
              <w:rPr>
                <w:rFonts w:ascii="Verdana" w:hAnsi="Verdana"/>
                <w:color w:val="000000"/>
                <w:sz w:val="20"/>
                <w:szCs w:val="20"/>
                <w:lang w:val="pt-BR"/>
              </w:rPr>
              <w:t>Músculo bovino sem aponeurose, Carne bovina in natura tipo corte: músculo</w:t>
            </w:r>
            <w:r>
              <w:rPr>
                <w:rFonts w:ascii="Verdana" w:hAnsi="Verdana"/>
                <w:color w:val="000000"/>
                <w:spacing w:val="-43"/>
                <w:sz w:val="20"/>
                <w:szCs w:val="20"/>
                <w:lang w:val="pt-BR"/>
              </w:rPr>
              <w:t xml:space="preserve"> </w:t>
            </w:r>
            <w:r>
              <w:rPr>
                <w:rFonts w:ascii="Verdana" w:hAnsi="Verdana"/>
                <w:color w:val="000000"/>
                <w:sz w:val="20"/>
                <w:szCs w:val="20"/>
                <w:lang w:val="pt-BR"/>
              </w:rPr>
              <w:t>traseiro apresentação: peça inteira</w:t>
            </w:r>
            <w:r>
              <w:rPr>
                <w:rFonts w:ascii="Verdana" w:hAnsi="Verdana"/>
                <w:color w:val="000000"/>
                <w:spacing w:val="1"/>
                <w:sz w:val="20"/>
                <w:szCs w:val="20"/>
                <w:lang w:val="pt-BR"/>
              </w:rPr>
              <w:t xml:space="preserve"> </w:t>
            </w:r>
            <w:r>
              <w:rPr>
                <w:rFonts w:ascii="Verdana" w:hAnsi="Verdana"/>
                <w:color w:val="000000"/>
                <w:sz w:val="20"/>
                <w:szCs w:val="20"/>
                <w:lang w:val="pt-BR"/>
              </w:rPr>
              <w:t>processamento: sem osso estado de</w:t>
            </w:r>
            <w:r>
              <w:rPr>
                <w:rFonts w:ascii="Verdana" w:hAnsi="Verdana"/>
                <w:color w:val="000000"/>
                <w:spacing w:val="1"/>
                <w:sz w:val="20"/>
                <w:szCs w:val="20"/>
                <w:lang w:val="pt-BR"/>
              </w:rPr>
              <w:t xml:space="preserve"> </w:t>
            </w:r>
            <w:r>
              <w:rPr>
                <w:rFonts w:ascii="Verdana" w:hAnsi="Verdana"/>
                <w:color w:val="000000"/>
                <w:sz w:val="20"/>
                <w:szCs w:val="20"/>
                <w:lang w:val="pt-BR"/>
              </w:rPr>
              <w:t>conservação: congelado(a)</w:t>
            </w:r>
          </w:p>
        </w:tc>
        <w:tc>
          <w:tcPr>
            <w:tcW w:w="795"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KG</w:t>
            </w:r>
          </w:p>
        </w:tc>
        <w:tc>
          <w:tcPr>
            <w:tcW w:w="1059" w:type="dxa"/>
            <w:tcBorders>
              <w:left w:val="single" w:sz="2" w:space="0" w:color="000000"/>
              <w:bottom w:val="single" w:sz="2" w:space="0" w:color="000000"/>
            </w:tcBorders>
            <w:vAlign w:val="center"/>
          </w:tcPr>
          <w:p>
            <w:pPr>
              <w:pStyle w:val="TableParagraph"/>
              <w:spacing w:lineRule="auto" w:line="276" w:before="0" w:after="0"/>
              <w:ind w:left="0" w:right="0"/>
              <w:jc w:val="center"/>
              <w:rPr>
                <w:lang w:val="pt-BR"/>
              </w:rPr>
            </w:pPr>
            <w:r>
              <w:rPr>
                <w:rFonts w:ascii="Verdana" w:hAnsi="Verdana"/>
                <w:color w:val="000000"/>
                <w:sz w:val="20"/>
                <w:szCs w:val="20"/>
                <w:lang w:val="pt-BR"/>
              </w:rPr>
              <w:t>225</w:t>
            </w:r>
          </w:p>
        </w:tc>
        <w:tc>
          <w:tcPr>
            <w:tcW w:w="1306" w:type="dxa"/>
            <w:tcBorders>
              <w:left w:val="single" w:sz="2" w:space="0" w:color="000000"/>
              <w:bottom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R$ 28,66</w:t>
            </w:r>
          </w:p>
        </w:tc>
        <w:tc>
          <w:tcPr>
            <w:tcW w:w="1653" w:type="dxa"/>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right"/>
              <w:rPr>
                <w:lang w:val="pt-BR"/>
              </w:rPr>
            </w:pPr>
            <w:r>
              <w:rPr>
                <w:rFonts w:ascii="Verdana" w:hAnsi="Verdana"/>
                <w:color w:val="000000"/>
                <w:sz w:val="20"/>
                <w:szCs w:val="20"/>
                <w:lang w:val="pt-BR"/>
              </w:rPr>
              <w:t>R$ 6.448,50</w:t>
            </w:r>
          </w:p>
        </w:tc>
      </w:tr>
      <w:tr>
        <w:trPr/>
        <w:tc>
          <w:tcPr>
            <w:tcW w:w="9523" w:type="dxa"/>
            <w:gridSpan w:val="6"/>
            <w:tcBorders>
              <w:left w:val="single" w:sz="2" w:space="0" w:color="000000"/>
              <w:bottom w:val="single" w:sz="2" w:space="0" w:color="000000"/>
              <w:right w:val="single" w:sz="2" w:space="0" w:color="000000"/>
            </w:tcBorders>
            <w:vAlign w:val="center"/>
          </w:tcPr>
          <w:p>
            <w:pPr>
              <w:pStyle w:val="TableParagraph"/>
              <w:spacing w:lineRule="auto" w:line="276" w:before="0" w:after="0"/>
              <w:ind w:left="0" w:right="0"/>
              <w:jc w:val="center"/>
              <w:rPr>
                <w:lang w:val="pt-BR"/>
              </w:rPr>
            </w:pPr>
            <w:r>
              <w:rPr>
                <w:rFonts w:ascii="Verdana" w:hAnsi="Verdana"/>
                <w:b/>
                <w:sz w:val="20"/>
                <w:szCs w:val="20"/>
                <w:lang w:val="pt-BR"/>
              </w:rPr>
              <w:t>VALOR ESTIMADO TOTAL: R$ 126.411,46 (cento e vinte e seis mil quatrocentos e onze reais e quarenta e seis centavos).</w:t>
            </w:r>
          </w:p>
        </w:tc>
      </w:tr>
    </w:tbl>
    <w:p>
      <w:pPr>
        <w:pStyle w:val="Normal"/>
        <w:suppressAutoHyphens w:val="false"/>
        <w:spacing w:lineRule="auto" w:line="276" w:before="113" w:after="113"/>
        <w:ind w:hanging="0" w:left="0" w:right="0"/>
        <w:jc w:val="both"/>
        <w:rPr>
          <w:lang w:val="pt-BR"/>
        </w:rPr>
      </w:pPr>
      <w:r>
        <w:rPr>
          <w:rFonts w:ascii="Verdana" w:hAnsi="Verdana"/>
          <w:b w:val="false"/>
          <w:bCs w:val="false"/>
          <w:iCs/>
          <w:sz w:val="20"/>
          <w:szCs w:val="20"/>
          <w:shd w:fill="auto" w:val="clear"/>
          <w:lang w:val="pt-BR"/>
        </w:rPr>
        <w:t>1.2. Os produtos propostos deverão, obrigatoriamente, atender as exigências de qualidade, observados os padrões e normas baixadas pelos órgãos competentes de controle e fiscalização de qualidade industrial em especial ANVISA ou equiparadas.</w:t>
      </w:r>
      <w:bookmarkStart w:id="0" w:name="page66R_mcid0"/>
    </w:p>
    <w:p>
      <w:pPr>
        <w:pStyle w:val="ListParagraph"/>
        <w:suppressAutoHyphens w:val="false"/>
        <w:spacing w:lineRule="auto" w:line="276" w:before="113" w:after="113"/>
        <w:ind w:hanging="0" w:left="0" w:right="0"/>
        <w:contextualSpacing w:val="false"/>
        <w:jc w:val="both"/>
        <w:rPr>
          <w:lang w:val="pt-BR"/>
        </w:rPr>
      </w:pPr>
      <w:r>
        <w:rPr>
          <w:rFonts w:ascii="Verdana" w:hAnsi="Verdana"/>
          <w:b w:val="false"/>
          <w:bCs w:val="false"/>
          <w:iCs/>
          <w:sz w:val="20"/>
          <w:szCs w:val="20"/>
          <w:lang w:val="pt-BR"/>
        </w:rPr>
        <w:t xml:space="preserve">1.3. </w:t>
      </w:r>
      <w:r>
        <w:rPr>
          <w:rFonts w:cs="Arial" w:ascii="Verdana" w:hAnsi="Verdana"/>
          <w:b w:val="false"/>
          <w:bCs w:val="false"/>
          <w:iCs/>
          <w:color w:val="000000"/>
          <w:sz w:val="20"/>
          <w:szCs w:val="20"/>
          <w:lang w:val="pt-BR"/>
        </w:rPr>
        <w:t>O prazo de vigência da contratação será de 12 (doze) meses</w:t>
      </w:r>
      <w:r>
        <w:rPr>
          <w:rFonts w:cs="Arial" w:ascii="Verdana" w:hAnsi="Verdana"/>
          <w:b w:val="false"/>
          <w:bCs w:val="false"/>
          <w:iCs/>
          <w:color w:val="FF0000"/>
          <w:sz w:val="20"/>
          <w:szCs w:val="20"/>
          <w:lang w:val="pt-BR"/>
        </w:rPr>
        <w:t xml:space="preserve"> </w:t>
      </w:r>
      <w:r>
        <w:rPr>
          <w:rFonts w:cs="Arial" w:ascii="Verdana" w:hAnsi="Verdana"/>
          <w:b w:val="false"/>
          <w:bCs w:val="false"/>
          <w:iCs/>
          <w:color w:val="000000"/>
          <w:sz w:val="20"/>
          <w:szCs w:val="20"/>
          <w:lang w:val="pt-BR"/>
        </w:rPr>
        <w:t>contados a partir da publicação da Ata de Registro de Preços.</w:t>
      </w:r>
    </w:p>
    <w:p>
      <w:pPr>
        <w:pStyle w:val="Normal"/>
        <w:widowControl/>
        <w:suppressAutoHyphens w:val="true"/>
        <w:overflowPunct w:val="true"/>
        <w:bidi w:val="0"/>
        <w:spacing w:lineRule="auto" w:line="276" w:before="113" w:after="113"/>
        <w:ind w:hanging="0" w:left="0" w:right="0"/>
        <w:jc w:val="both"/>
        <w:rPr>
          <w:lang w:val="pt-BR"/>
        </w:rPr>
      </w:pPr>
      <w:r>
        <w:rPr>
          <w:rFonts w:cs="Arial" w:ascii="Verdana" w:hAnsi="Verdana"/>
          <w:b w:val="false"/>
          <w:bCs w:val="false"/>
          <w:sz w:val="20"/>
          <w:szCs w:val="20"/>
          <w:lang w:val="pt-BR"/>
        </w:rPr>
        <w:t xml:space="preserve">1.4. O objeto da contratação será composto por </w:t>
      </w:r>
      <w:r>
        <w:rPr>
          <w:rFonts w:eastAsia="Times New Roman" w:cs="Arial" w:ascii="Verdana" w:hAnsi="Verdana"/>
          <w:b w:val="false"/>
          <w:bCs w:val="false"/>
          <w:color w:val="auto"/>
          <w:kern w:val="0"/>
          <w:sz w:val="20"/>
          <w:szCs w:val="20"/>
          <w:lang w:val="pt-BR" w:eastAsia="zh-CN" w:bidi="ar-SA"/>
        </w:rPr>
        <w:t>vários itens de diferentes descrições que deverão</w:t>
      </w:r>
      <w:r>
        <w:rPr>
          <w:rFonts w:cs="Arial" w:ascii="Verdana" w:hAnsi="Verdana"/>
          <w:b w:val="false"/>
          <w:bCs w:val="false"/>
          <w:sz w:val="20"/>
          <w:szCs w:val="20"/>
          <w:lang w:val="pt-BR"/>
        </w:rPr>
        <w:t xml:space="preserve"> ser entregues de acordo com a demanda do Abrigo Luz.</w:t>
      </w:r>
    </w:p>
    <w:p>
      <w:pPr>
        <w:pStyle w:val="Normal"/>
        <w:suppressAutoHyphens w:val="false"/>
        <w:spacing w:lineRule="auto" w:line="276" w:before="113" w:after="113"/>
        <w:ind w:hanging="0" w:left="0" w:right="0"/>
        <w:jc w:val="both"/>
        <w:rPr>
          <w:lang w:val="pt-BR"/>
        </w:rPr>
      </w:pPr>
      <w:r>
        <w:rPr>
          <w:rFonts w:cs="Arial" w:ascii="Verdana" w:hAnsi="Verdana"/>
          <w:b w:val="false"/>
          <w:bCs w:val="false"/>
          <w:iCs/>
          <w:color w:val="000000"/>
          <w:sz w:val="20"/>
          <w:szCs w:val="20"/>
          <w:lang w:val="pt-BR"/>
        </w:rPr>
        <w:t xml:space="preserve">1.5. Para fins de classificação de fornecedores, será considerado o </w:t>
      </w:r>
      <w:r>
        <w:rPr>
          <w:rFonts w:cs="Arial" w:ascii="Verdana" w:hAnsi="Verdana"/>
          <w:b/>
          <w:bCs/>
          <w:iCs/>
          <w:color w:val="000000"/>
          <w:sz w:val="20"/>
          <w:szCs w:val="20"/>
          <w:lang w:val="pt-BR"/>
        </w:rPr>
        <w:t xml:space="preserve">menor preço </w:t>
      </w:r>
      <w:r>
        <w:rPr>
          <w:rFonts w:eastAsia="Times New Roman" w:cs="Arial" w:ascii="Verdana" w:hAnsi="Verdana"/>
          <w:b/>
          <w:bCs/>
          <w:iCs/>
          <w:color w:val="auto"/>
          <w:kern w:val="0"/>
          <w:sz w:val="20"/>
          <w:szCs w:val="20"/>
          <w:lang w:val="pt-BR" w:eastAsia="zh-CN" w:bidi="ar-SA"/>
        </w:rPr>
        <w:t>por item</w:t>
      </w:r>
      <w:r>
        <w:rPr>
          <w:rFonts w:eastAsia="Times New Roman" w:cs="Arial" w:ascii="Verdana" w:hAnsi="Verdana"/>
          <w:b w:val="false"/>
          <w:bCs w:val="false"/>
          <w:iCs/>
          <w:color w:val="auto"/>
          <w:kern w:val="0"/>
          <w:sz w:val="20"/>
          <w:szCs w:val="20"/>
          <w:lang w:val="pt-BR" w:eastAsia="zh-CN" w:bidi="ar-SA"/>
        </w:rPr>
        <w:t>, no procedimento de licitação</w:t>
      </w:r>
      <w:r>
        <w:rPr>
          <w:rFonts w:cs="Arial" w:ascii="Verdana" w:hAnsi="Verdana"/>
          <w:b w:val="false"/>
          <w:bCs w:val="false"/>
          <w:iCs/>
          <w:color w:val="000000"/>
          <w:sz w:val="20"/>
          <w:szCs w:val="20"/>
          <w:lang w:val="pt-BR"/>
        </w:rPr>
        <w:t>. Compete à administração buscar o menor dispêndio possível de recursos, assegurando a qualidade do fornecimento o que exige a escolha da solução mais adequada e eficiente dentre as diversas opções existentes já por ocasião da definição do objeto e das condições da contratação, posto que seja essa descrição que impulsiona a seleção da proposta mais vantajosa.</w:t>
      </w:r>
    </w:p>
    <w:p>
      <w:pPr>
        <w:pStyle w:val="ListParagraph"/>
        <w:tabs>
          <w:tab w:val="clear" w:pos="708"/>
          <w:tab w:val="left" w:pos="0" w:leader="none"/>
        </w:tabs>
        <w:suppressAutoHyphens w:val="false"/>
        <w:spacing w:lineRule="auto" w:line="276" w:before="113" w:after="113"/>
        <w:ind w:hanging="0" w:left="0" w:right="0"/>
        <w:contextualSpacing w:val="false"/>
        <w:jc w:val="both"/>
        <w:rPr>
          <w:lang w:val="pt-BR"/>
        </w:rPr>
      </w:pPr>
      <w:r>
        <w:rPr>
          <w:rFonts w:eastAsia="Times New Roman" w:cs="Times New Roman" w:ascii="Verdana" w:hAnsi="Verdana"/>
          <w:b w:val="false"/>
          <w:bCs w:val="false"/>
          <w:iCs/>
          <w:color w:val="000000"/>
          <w:sz w:val="20"/>
          <w:szCs w:val="20"/>
          <w:lang w:val="pt-BR"/>
        </w:rPr>
        <w:t>1.6. O custo estimado total da contratação é de</w:t>
      </w:r>
      <w:r>
        <w:rPr>
          <w:rFonts w:eastAsia="Times New Roman" w:cs="Times New Roman" w:ascii="Verdana" w:hAnsi="Verdana"/>
          <w:b w:val="false"/>
          <w:bCs w:val="false"/>
          <w:i/>
          <w:iCs/>
          <w:color w:val="FF0000"/>
          <w:sz w:val="20"/>
          <w:szCs w:val="20"/>
          <w:lang w:val="pt-BR"/>
        </w:rPr>
        <w:t xml:space="preserve"> </w:t>
      </w:r>
      <w:r>
        <w:rPr>
          <w:rFonts w:eastAsia="Times New Roman" w:cs="Times New Roman" w:ascii="Verdana" w:hAnsi="Verdana"/>
          <w:b w:val="false"/>
          <w:bCs w:val="false"/>
          <w:i w:val="false"/>
          <w:iCs w:val="false"/>
          <w:color w:val="000000"/>
          <w:sz w:val="20"/>
          <w:szCs w:val="20"/>
          <w:lang w:val="pt-BR"/>
        </w:rPr>
        <w:t>R$ 126.411,46 (cento e vinte e seis mil quatrocentos e onze reais e quarenta e seis centavos)</w:t>
      </w:r>
      <w:r>
        <w:rPr>
          <w:rFonts w:eastAsia="Times New Roman" w:cs="Times New Roman" w:ascii="Verdana" w:hAnsi="Verdana"/>
          <w:b w:val="false"/>
          <w:bCs w:val="false"/>
          <w:i/>
          <w:iCs/>
          <w:color w:val="000000"/>
          <w:sz w:val="20"/>
          <w:szCs w:val="20"/>
          <w:lang w:val="pt-BR"/>
        </w:rPr>
        <w:t xml:space="preserve"> </w:t>
      </w:r>
      <w:r>
        <w:rPr>
          <w:rFonts w:eastAsia="Times New Roman" w:cs="Times New Roman" w:ascii="Verdana" w:hAnsi="Verdana"/>
          <w:b w:val="false"/>
          <w:bCs w:val="false"/>
          <w:iCs/>
          <w:color w:val="000000"/>
          <w:sz w:val="20"/>
          <w:szCs w:val="20"/>
          <w:lang w:val="pt-BR"/>
        </w:rPr>
        <w:t>conforme custos unitários apostos nos orçamentos e nos quadros comparativos de preços simples em anexo.</w:t>
      </w:r>
    </w:p>
    <w:p>
      <w:pPr>
        <w:pStyle w:val="ListParagraph"/>
        <w:tabs>
          <w:tab w:val="clear" w:pos="708"/>
          <w:tab w:val="left" w:pos="0" w:leader="none"/>
        </w:tabs>
        <w:suppressAutoHyphens w:val="false"/>
        <w:spacing w:lineRule="auto" w:line="276" w:before="113" w:after="113"/>
        <w:ind w:hanging="0" w:left="0" w:right="0"/>
        <w:contextualSpacing w:val="false"/>
        <w:jc w:val="both"/>
        <w:rPr>
          <w:rFonts w:ascii="Verdana" w:hAnsi="Verdana" w:eastAsia="Times New Roman" w:cs="Times New Roman"/>
          <w:b w:val="false"/>
          <w:bCs w:val="false"/>
          <w:iCs/>
          <w:color w:val="000000"/>
          <w:sz w:val="20"/>
          <w:szCs w:val="20"/>
          <w:lang w:val="pt-BR"/>
        </w:rPr>
      </w:pPr>
      <w:r>
        <w:rPr>
          <w:rFonts w:eastAsia="Times New Roman" w:cs="Times New Roman" w:ascii="Verdana" w:hAnsi="Verdana"/>
          <w:b w:val="false"/>
          <w:bCs w:val="false"/>
          <w:iCs/>
          <w:color w:val="000000"/>
          <w:sz w:val="20"/>
          <w:szCs w:val="20"/>
          <w:lang w:val="pt-BR"/>
        </w:rPr>
      </w:r>
    </w:p>
    <w:p>
      <w:pPr>
        <w:pStyle w:val="Nivel1"/>
        <w:spacing w:lineRule="auto" w:line="276" w:before="113" w:after="113"/>
        <w:ind w:hanging="0" w:left="0" w:right="0"/>
        <w:rPr>
          <w:lang w:val="pt-BR"/>
        </w:rPr>
      </w:pPr>
      <w:r>
        <w:rPr>
          <w:rFonts w:cs="Times New Roman" w:ascii="Verdana" w:hAnsi="Verdana"/>
          <w:bCs/>
          <w:sz w:val="20"/>
          <w:szCs w:val="20"/>
          <w:lang w:val="pt-BR"/>
        </w:rPr>
        <w:t>2. FUNDAMENTAÇÃO E DESCRIÇÃO DA NECESSIDADE DA CONTRATAÇÃO</w:t>
      </w:r>
    </w:p>
    <w:p>
      <w:pPr>
        <w:pStyle w:val="BodyText"/>
        <w:bidi w:val="0"/>
        <w:spacing w:lineRule="auto" w:line="276" w:before="113" w:after="113"/>
        <w:ind w:left="0" w:right="0"/>
        <w:jc w:val="both"/>
        <w:rPr>
          <w:lang w:val="pt-BR"/>
        </w:rPr>
      </w:pPr>
      <w:r>
        <w:rPr>
          <w:rFonts w:eastAsia="Calibri" w:cs="Arial" w:ascii="Verdana" w:hAnsi="Verdana"/>
          <w:kern w:val="0"/>
          <w:sz w:val="20"/>
          <w:szCs w:val="20"/>
          <w:lang w:val="pt-BR" w:eastAsia="zh-CN" w:bidi="ar-SA"/>
        </w:rPr>
        <w:t>2.1. A contratação do objeto REGISTRO DE PREÇOS DE GÊNEROS ALIMENTÍCIOS PARA O ABRIGO LUZ é de extrema importância para garantir a qualidade de vida e o bem-estar dos indivíduos que dependem dos serviços prestados por essa instituição.</w:t>
        <w:br/>
        <w:t>2.2. O Abrigo Luz é uma entidade que acolhe e cuida de crianças e adolescentes em situação de vulnerabilidade social, oferecendo abrigo, alimentação, assistência psicológica e social, entre outros serviços. Para garantir a eficiência e a continuidade dessas atividades, é essencial que haja um fornecimento regular e de qualidade de gêneros alimentícios.</w:t>
        <w:br/>
        <w:t>2.3. Através da contratação do registro de preços, será possível estabelecer uma parceria com fornecedores confiáveis e competitivos, garantindo assim um melhor controle de custos e uma maior eficiência na gestão dos recursos destinados à alimentação dos acolhidos.</w:t>
        <w:br/>
        <w:t>2.4. Além disso, ao obter os alimentos por meio de um sistema de registro de preços, o Abrigo Luz poderá garantir a oferta de uma alimentação balanceada e adequada às necessidades nutricionais dos assistidos, promovendo assim a saúde e o bem-estar dessas pessoas.</w:t>
        <w:br/>
        <w:t>2.5. Dessa forma, a contratação do objeto REGISTRO DE PREÇOS DE GÊNEROS ALIMENTÍCIOS PARA O ABRIGO LUZ é uma medida que atende ao interesse público, assegurando a continuidade e a qualidade dos serviços oferecidos por essa instituição e contribuindo para o cuidado e a proteção dos mais vulneráveis em nossa sociedade</w:t>
      </w:r>
    </w:p>
    <w:p>
      <w:pPr>
        <w:pStyle w:val="BodyText"/>
        <w:bidi w:val="0"/>
        <w:spacing w:lineRule="auto" w:line="276" w:before="113" w:after="113"/>
        <w:ind w:left="0" w:right="0"/>
        <w:jc w:val="both"/>
        <w:rPr>
          <w:rFonts w:ascii="Verdana" w:hAnsi="Verdana" w:eastAsia="Calibri" w:cs="Arial"/>
          <w:kern w:val="0"/>
          <w:sz w:val="20"/>
          <w:szCs w:val="20"/>
          <w:lang w:eastAsia="zh-CN" w:bidi="ar-SA"/>
        </w:rPr>
      </w:pPr>
      <w:r>
        <w:rPr>
          <w:rFonts w:eastAsia="Calibri" w:cs="Arial" w:ascii="Verdana" w:hAnsi="Verdana"/>
          <w:kern w:val="0"/>
          <w:sz w:val="20"/>
          <w:szCs w:val="20"/>
          <w:lang w:eastAsia="zh-CN" w:bidi="ar-SA"/>
        </w:rPr>
      </w:r>
    </w:p>
    <w:p>
      <w:pPr>
        <w:pStyle w:val="Nivel1"/>
        <w:spacing w:lineRule="auto" w:line="276" w:before="113" w:after="113"/>
        <w:ind w:hanging="0" w:left="0" w:right="0"/>
        <w:rPr>
          <w:lang w:val="pt-BR"/>
        </w:rPr>
      </w:pPr>
      <w:r>
        <w:rPr>
          <w:rFonts w:ascii="Verdana" w:hAnsi="Verdana"/>
          <w:sz w:val="20"/>
          <w:szCs w:val="20"/>
          <w:lang w:val="pt-BR"/>
        </w:rPr>
        <w:t>3. DESCRIÇÃO DA SOLUÇÃO</w:t>
      </w:r>
    </w:p>
    <w:p>
      <w:pPr>
        <w:pStyle w:val="BodyText"/>
        <w:bidi w:val="0"/>
        <w:spacing w:lineRule="auto" w:line="276" w:before="113" w:after="113"/>
        <w:ind w:left="0" w:right="0"/>
        <w:jc w:val="both"/>
        <w:rPr>
          <w:lang w:val="pt-BR"/>
        </w:rPr>
      </w:pPr>
      <w:r>
        <w:rPr>
          <w:rFonts w:ascii="Verdana" w:hAnsi="Verdana"/>
          <w:color w:val="000000"/>
          <w:sz w:val="20"/>
          <w:szCs w:val="20"/>
          <w:lang w:val="pt-BR"/>
        </w:rPr>
        <w:t>3.1. Após uma análise das opções disponíveis, foi possível identificar a solução mais vantajosa tanto para a contratação inicial quanto para futuras manutenções. O processo de avaliação envolveu uma análise criteriosa de diversos aspectos, levando em consideração não apenas o custo inicial, mas também a qualidade, a confiabilidade e a eficiência a longo prazo.</w:t>
      </w:r>
    </w:p>
    <w:p>
      <w:pPr>
        <w:pStyle w:val="BodyText"/>
        <w:bidi w:val="0"/>
        <w:spacing w:lineRule="auto" w:line="276" w:before="113" w:after="113"/>
        <w:ind w:left="0" w:right="0"/>
        <w:jc w:val="both"/>
        <w:rPr>
          <w:lang w:val="pt-BR"/>
        </w:rPr>
      </w:pPr>
      <w:r>
        <w:rPr>
          <w:rFonts w:ascii="Verdana" w:hAnsi="Verdana"/>
          <w:color w:val="000000"/>
          <w:sz w:val="20"/>
          <w:szCs w:val="20"/>
          <w:lang w:val="pt-BR"/>
        </w:rPr>
        <w:t>3.2. Dentre as opções examinadas, a solução que se destacou foi aquela que oferecia um equilíbrio notável entre qualidade e custo-benefício. Além de apresentar um custo inicial competitivo, essa alternativa demonstrou ser compatível com as necessidades projetadas no caso de uma eventual manutenção futura. Sua capacidade de adaptação a possíveis mudanças também foi um ponto crucial na decisão.</w:t>
      </w:r>
    </w:p>
    <w:p>
      <w:pPr>
        <w:pStyle w:val="BodyText"/>
        <w:bidi w:val="0"/>
        <w:spacing w:lineRule="auto" w:line="276" w:before="113" w:after="113"/>
        <w:ind w:left="0" w:right="0"/>
        <w:jc w:val="both"/>
        <w:rPr>
          <w:lang w:val="pt-BR"/>
        </w:rPr>
      </w:pPr>
      <w:r>
        <w:rPr>
          <w:rFonts w:ascii="Verdana" w:hAnsi="Verdana"/>
          <w:color w:val="000000"/>
          <w:sz w:val="20"/>
          <w:szCs w:val="20"/>
          <w:lang w:val="pt-BR"/>
        </w:rPr>
        <w:t>3.3. A escolha desta solução não apenas se mostrou vantajosa para o momento da contratação, mas também previu potenciais economias a longo prazo, tanto em termos de despesas operacionais.</w:t>
      </w:r>
    </w:p>
    <w:p>
      <w:pPr>
        <w:pStyle w:val="BodyText"/>
        <w:bidi w:val="0"/>
        <w:spacing w:lineRule="auto" w:line="276" w:before="113" w:after="113"/>
        <w:ind w:left="0" w:right="0"/>
        <w:jc w:val="both"/>
        <w:rPr>
          <w:lang w:val="pt-BR"/>
        </w:rPr>
      </w:pPr>
      <w:r>
        <w:rPr>
          <w:rFonts w:ascii="Verdana" w:hAnsi="Verdana"/>
          <w:color w:val="000000"/>
          <w:sz w:val="20"/>
          <w:szCs w:val="20"/>
          <w:lang w:val="pt-BR"/>
        </w:rPr>
        <w:t>3.4. Com base na análise detalhada realizada, esta solução se destaca como a mais viável e promissora para atender às demandas atuais e futuras, oferecendo um equilíbrio ideal entre eficiência, confiabilidade e custo, tanto na fase inicial quanto nas manutenções posteriores.</w:t>
      </w:r>
    </w:p>
    <w:p>
      <w:pPr>
        <w:pStyle w:val="BodyText"/>
        <w:bidi w:val="0"/>
        <w:spacing w:lineRule="auto" w:line="276" w:before="113" w:after="113"/>
        <w:ind w:left="0" w:right="0"/>
        <w:jc w:val="both"/>
        <w:rPr>
          <w:lang w:val="pt-BR"/>
        </w:rPr>
      </w:pPr>
      <w:r>
        <w:rPr>
          <w:rFonts w:ascii="Verdana" w:hAnsi="Verdana"/>
          <w:color w:val="000000"/>
          <w:sz w:val="20"/>
          <w:szCs w:val="20"/>
          <w:lang w:val="pt-BR"/>
        </w:rPr>
        <w:t>Sendo assim, a solução mais vantajosa para a contratação foi o registro de preços.</w:t>
      </w:r>
    </w:p>
    <w:p>
      <w:pPr>
        <w:pStyle w:val="BodyText"/>
        <w:bidi w:val="0"/>
        <w:spacing w:lineRule="auto" w:line="276" w:before="113" w:after="113"/>
        <w:ind w:left="0" w:right="0"/>
        <w:jc w:val="both"/>
        <w:rPr>
          <w:rFonts w:ascii="Verdana" w:hAnsi="Verdana"/>
          <w:color w:val="000000"/>
          <w:sz w:val="20"/>
          <w:szCs w:val="20"/>
        </w:rPr>
      </w:pPr>
      <w:r>
        <w:rPr>
          <w:rFonts w:ascii="Verdana" w:hAnsi="Verdana"/>
          <w:color w:val="000000"/>
          <w:sz w:val="20"/>
          <w:szCs w:val="20"/>
        </w:rPr>
      </w:r>
    </w:p>
    <w:p>
      <w:pPr>
        <w:pStyle w:val="Nivel1"/>
        <w:keepNext w:val="true"/>
        <w:keepLines/>
        <w:widowControl/>
        <w:bidi w:val="0"/>
        <w:spacing w:lineRule="auto" w:line="276" w:before="113" w:after="113"/>
        <w:ind w:hanging="0" w:left="0" w:right="0"/>
        <w:rPr>
          <w:rFonts w:ascii="Verdana" w:hAnsi="Verdana" w:eastAsia=""/>
          <w:b/>
          <w:kern w:val="0"/>
          <w:sz w:val="20"/>
          <w:szCs w:val="20"/>
          <w:lang w:val="pt-BR" w:bidi="ar-SA"/>
        </w:rPr>
      </w:pPr>
      <w:r>
        <w:rPr>
          <w:rFonts w:eastAsia="" w:ascii="Verdana" w:hAnsi="Verdana"/>
          <w:b/>
          <w:kern w:val="0"/>
          <w:sz w:val="20"/>
          <w:szCs w:val="20"/>
          <w:lang w:val="pt-BR" w:bidi="ar-SA"/>
        </w:rPr>
        <w:t>4. CLASSIFICAÇÃO DOS BENS COMUNS</w:t>
      </w:r>
    </w:p>
    <w:p>
      <w:pPr>
        <w:pStyle w:val="Normal"/>
        <w:spacing w:lineRule="auto" w:line="276" w:before="113" w:after="113"/>
        <w:ind w:hanging="0" w:left="0" w:right="0"/>
        <w:jc w:val="both"/>
        <w:rPr>
          <w:lang w:val="pt-BR"/>
        </w:rPr>
      </w:pPr>
      <w:r>
        <w:rPr>
          <w:rFonts w:cs="Arial" w:ascii="Verdana" w:hAnsi="Verdana"/>
          <w:b w:val="false"/>
          <w:bCs w:val="false"/>
          <w:color w:val="000000"/>
          <w:sz w:val="20"/>
          <w:szCs w:val="20"/>
          <w:lang w:val="pt-BR"/>
        </w:rPr>
        <w:t>4.1 Trata-se de bens comuns a ser contratado mediante de registro de preços.</w:t>
      </w:r>
    </w:p>
    <w:p>
      <w:pPr>
        <w:pStyle w:val="Normal"/>
        <w:spacing w:lineRule="auto" w:line="276" w:before="113" w:after="113"/>
        <w:ind w:hanging="0" w:left="0" w:right="0"/>
        <w:jc w:val="both"/>
        <w:rPr>
          <w:rFonts w:ascii="Verdana" w:hAnsi="Verdana" w:cs="Arial"/>
          <w:b w:val="false"/>
          <w:bCs w:val="false"/>
          <w:color w:val="000000"/>
          <w:sz w:val="20"/>
          <w:szCs w:val="20"/>
        </w:rPr>
      </w:pPr>
      <w:r>
        <w:rPr>
          <w:rFonts w:cs="Arial" w:ascii="Verdana" w:hAnsi="Verdana"/>
          <w:b w:val="false"/>
          <w:bCs w:val="false"/>
          <w:color w:val="000000"/>
          <w:sz w:val="20"/>
          <w:szCs w:val="20"/>
        </w:rPr>
      </w:r>
    </w:p>
    <w:p>
      <w:pPr>
        <w:pStyle w:val="Nivel1"/>
        <w:keepNext w:val="true"/>
        <w:keepLines/>
        <w:widowControl/>
        <w:bidi w:val="0"/>
        <w:spacing w:lineRule="auto" w:line="276" w:before="113" w:after="113"/>
        <w:ind w:hanging="0" w:left="0" w:right="0"/>
        <w:rPr>
          <w:rFonts w:ascii="Verdana" w:hAnsi="Verdana" w:eastAsia=""/>
          <w:b/>
          <w:kern w:val="0"/>
          <w:sz w:val="20"/>
          <w:szCs w:val="20"/>
          <w:lang w:val="pt-BR" w:bidi="ar-SA"/>
        </w:rPr>
      </w:pPr>
      <w:r>
        <w:rPr>
          <w:rFonts w:eastAsia="" w:ascii="Verdana" w:hAnsi="Verdana"/>
          <w:b/>
          <w:kern w:val="0"/>
          <w:sz w:val="20"/>
          <w:szCs w:val="20"/>
          <w:lang w:val="pt-BR" w:bidi="ar-SA"/>
        </w:rPr>
        <w:t>5. REQUISITOS DA CONTRATAÇÃO</w:t>
      </w:r>
    </w:p>
    <w:p>
      <w:pPr>
        <w:pStyle w:val="BodyText"/>
        <w:bidi w:val="0"/>
        <w:spacing w:lineRule="auto" w:line="276" w:before="113" w:after="113"/>
        <w:ind w:left="0" w:right="0"/>
        <w:jc w:val="both"/>
        <w:rPr>
          <w:lang w:val="pt-BR"/>
        </w:rPr>
      </w:pPr>
      <w:r>
        <w:rPr>
          <w:rFonts w:ascii="Verdana" w:hAnsi="Verdana"/>
          <w:color w:val="000000"/>
          <w:sz w:val="20"/>
          <w:szCs w:val="20"/>
          <w:lang w:val="pt-BR"/>
        </w:rPr>
        <w:t>5.1. Para atender adequadamente o objeto REGISTRO DE PREÇOS DE GÊNEROS ALIMENTÍCIOS PARA O ABRIGO LUZ, os requisitos que devem constar na solução são os seguintes:</w:t>
        <w:br/>
        <w:t>5.2. Variedade de alimentos: A solução deve contemplar uma variedade de gêneros alimentícios para atender às necessidades nutricionais dos moradores do Abrigo Luz. Isso inclui produtos perecíveis e não perecíveis, como cereais, carnes, laticínios, entre outros.</w:t>
        <w:br/>
        <w:t>5.3. Qualidade dos produtos: Os alimentos devem ser de qualidade, frescos e próprios para o consumo humano. É essencial que os fornecedores cumpram com as normas de segurança alimentar e higiene.</w:t>
      </w:r>
    </w:p>
    <w:p>
      <w:pPr>
        <w:pStyle w:val="BodyText"/>
        <w:bidi w:val="0"/>
        <w:spacing w:lineRule="auto" w:line="276" w:before="113" w:after="113"/>
        <w:ind w:left="0" w:right="0"/>
        <w:jc w:val="both"/>
        <w:rPr>
          <w:lang w:val="pt-BR"/>
        </w:rPr>
      </w:pPr>
      <w:r>
        <w:rPr>
          <w:rFonts w:ascii="Verdana" w:hAnsi="Verdana"/>
          <w:color w:val="000000"/>
          <w:sz w:val="20"/>
          <w:szCs w:val="20"/>
          <w:lang w:val="pt-BR"/>
        </w:rPr>
        <w:t>5.4. Preços competitivos: A solução deve garantir preços competitivos para os produtos alimentícios, de forma a proporcionar economia para o Abrigo Luz e garantir a sustentabilidade financeira da instituição.</w:t>
      </w:r>
    </w:p>
    <w:p>
      <w:pPr>
        <w:pStyle w:val="BodyText"/>
        <w:bidi w:val="0"/>
        <w:spacing w:lineRule="auto" w:line="276" w:before="113" w:after="113"/>
        <w:ind w:left="0" w:right="0"/>
        <w:jc w:val="both"/>
        <w:rPr>
          <w:lang w:val="pt-BR"/>
        </w:rPr>
      </w:pPr>
      <w:r>
        <w:rPr>
          <w:rFonts w:ascii="Verdana" w:hAnsi="Verdana"/>
          <w:color w:val="000000"/>
          <w:sz w:val="20"/>
          <w:szCs w:val="20"/>
          <w:lang w:val="pt-BR"/>
        </w:rPr>
        <w:t>5.5. Logística eficiente: A entrega dos alimentos deve ser feita de forma eficiente e pontual, assegurando que não haja interrupções no abastecimento do abrigo.</w:t>
        <w:br/>
        <w:t>5.6. Atendimento personalizado: É importante que os fornecedores ofereçam um atendimento personalizado, atendendo às necessidades específicas do Abrigo Luz e garantindo a satisfação dos usuários.</w:t>
      </w:r>
    </w:p>
    <w:p>
      <w:pPr>
        <w:pStyle w:val="BodyText"/>
        <w:bidi w:val="0"/>
        <w:spacing w:lineRule="auto" w:line="276" w:before="113" w:after="113"/>
        <w:ind w:left="0" w:right="0"/>
        <w:jc w:val="both"/>
        <w:rPr>
          <w:lang w:val="pt-BR"/>
        </w:rPr>
      </w:pPr>
      <w:r>
        <w:rPr>
          <w:rFonts w:ascii="Verdana" w:hAnsi="Verdana"/>
          <w:color w:val="000000"/>
          <w:sz w:val="20"/>
          <w:szCs w:val="20"/>
          <w:lang w:val="pt-BR"/>
        </w:rPr>
        <w:t>5.7. Com esses requisitos, será possível garantir uma solução completa e eficiente para o registro de preços de gêneros alimentícios para o Abrigo Luz, contribuindo para o bem-estar e qualidade de vida dos moradores da instituição.</w:t>
      </w:r>
    </w:p>
    <w:p>
      <w:pPr>
        <w:pStyle w:val="Heading4"/>
        <w:bidi w:val="0"/>
        <w:spacing w:lineRule="auto" w:line="276" w:before="113" w:after="113"/>
        <w:ind w:left="0" w:right="0"/>
        <w:jc w:val="left"/>
        <w:rPr>
          <w:lang w:val="pt-BR"/>
        </w:rPr>
      </w:pPr>
      <w:r>
        <w:rPr>
          <w:rFonts w:ascii="Verdana" w:hAnsi="Verdana"/>
          <w:color w:val="000000"/>
          <w:sz w:val="20"/>
          <w:szCs w:val="20"/>
          <w:lang w:val="pt-BR"/>
        </w:rPr>
        <w:t>5.8. Habilitação Técnica</w:t>
      </w:r>
    </w:p>
    <w:p>
      <w:pPr>
        <w:pStyle w:val="BodyText"/>
        <w:bidi w:val="0"/>
        <w:spacing w:lineRule="auto" w:line="276" w:before="113" w:after="113"/>
        <w:ind w:left="0" w:right="0"/>
        <w:jc w:val="both"/>
        <w:rPr>
          <w:lang w:val="pt-BR"/>
        </w:rPr>
      </w:pPr>
      <w:r>
        <w:rPr>
          <w:rFonts w:ascii="Verdana" w:hAnsi="Verdana"/>
          <w:color w:val="000000"/>
          <w:sz w:val="20"/>
          <w:szCs w:val="20"/>
          <w:lang w:val="pt-BR"/>
        </w:rPr>
        <w:t>5.8.1. A proponente deverá apresentar Atestado(s) ou Declaração(ões) de Capacidade Técnica, emitida por pessoa jurídica de direito público ou privado, compatíveis com o objeto da contratação.</w:t>
      </w:r>
    </w:p>
    <w:p>
      <w:pPr>
        <w:pStyle w:val="BodyText"/>
        <w:bidi w:val="0"/>
        <w:spacing w:lineRule="auto" w:line="276" w:before="113" w:after="113"/>
        <w:ind w:left="0" w:right="0"/>
        <w:jc w:val="both"/>
        <w:rPr>
          <w:lang w:val="pt-BR"/>
        </w:rPr>
      </w:pPr>
      <w:r>
        <w:rPr>
          <w:rFonts w:ascii="Verdana" w:hAnsi="Verdana"/>
          <w:color w:val="000000"/>
          <w:sz w:val="20"/>
          <w:szCs w:val="20"/>
          <w:lang w:val="pt-BR"/>
        </w:rPr>
        <w:t>5.8.2. O atestado deverá ser impresso em papel timbrado do emitente, constando seu CNPJ e endereço completo, devendo ser assinado por servidor/funcionário responsável, com expressa indicação de seu nome completo e cargo/função.</w:t>
      </w:r>
    </w:p>
    <w:p>
      <w:pPr>
        <w:pStyle w:val="BodyText"/>
        <w:bidi w:val="0"/>
        <w:spacing w:lineRule="auto" w:line="276" w:before="113" w:after="113"/>
        <w:ind w:left="0" w:right="0"/>
        <w:jc w:val="left"/>
        <w:rPr>
          <w:lang w:val="pt-BR"/>
        </w:rPr>
      </w:pPr>
      <w:r>
        <w:rPr>
          <w:rFonts w:eastAsia="Times New Roman" w:cs="Times New Roman" w:ascii="Verdana" w:hAnsi="Verdana"/>
          <w:b w:val="false"/>
          <w:bCs w:val="false"/>
          <w:iCs/>
          <w:color w:val="000000"/>
          <w:sz w:val="20"/>
          <w:szCs w:val="20"/>
          <w:lang w:val="pt-BR"/>
        </w:rPr>
        <w:t>5.8.3. Considera-se compatível com o objeto da presente contratação.</w:t>
      </w:r>
    </w:p>
    <w:p>
      <w:pPr>
        <w:pStyle w:val="Heading4"/>
        <w:bidi w:val="0"/>
        <w:spacing w:lineRule="auto" w:line="276" w:before="113" w:after="113"/>
        <w:ind w:left="0" w:right="0"/>
        <w:jc w:val="left"/>
        <w:rPr>
          <w:lang w:val="pt-BR"/>
        </w:rPr>
      </w:pPr>
      <w:r>
        <w:rPr>
          <w:rFonts w:ascii="Verdana" w:hAnsi="Verdana"/>
          <w:color w:val="000000"/>
          <w:sz w:val="20"/>
          <w:szCs w:val="20"/>
          <w:lang w:val="pt-BR"/>
        </w:rPr>
        <w:t>5.9. Capacidade Técnica profissional</w:t>
      </w:r>
    </w:p>
    <w:p>
      <w:pPr>
        <w:pStyle w:val="BodyText"/>
        <w:bidi w:val="0"/>
        <w:spacing w:lineRule="auto" w:line="276" w:before="113" w:after="113"/>
        <w:ind w:left="0" w:right="0"/>
        <w:jc w:val="both"/>
        <w:rPr>
          <w:lang w:val="pt-BR"/>
        </w:rPr>
      </w:pPr>
      <w:r>
        <w:rPr>
          <w:rFonts w:ascii="Verdana" w:hAnsi="Verdana"/>
          <w:color w:val="000000"/>
          <w:sz w:val="20"/>
          <w:szCs w:val="20"/>
          <w:lang w:val="pt-BR"/>
        </w:rPr>
        <w:t>5.9.1. Registro e/ou inscrição do profissional no conselho de classe competente (vigente), se for o caso;</w:t>
      </w:r>
    </w:p>
    <w:p>
      <w:pPr>
        <w:pStyle w:val="BodyText"/>
        <w:bidi w:val="0"/>
        <w:spacing w:lineRule="auto" w:line="276" w:before="113" w:after="113"/>
        <w:ind w:left="0" w:right="0"/>
        <w:jc w:val="both"/>
        <w:rPr>
          <w:lang w:val="pt-BR"/>
        </w:rPr>
      </w:pPr>
      <w:r>
        <w:rPr>
          <w:rFonts w:ascii="Verdana" w:hAnsi="Verdana"/>
          <w:color w:val="000000"/>
          <w:sz w:val="20"/>
          <w:szCs w:val="20"/>
          <w:lang w:val="pt-BR"/>
        </w:rPr>
        <w:t>5.9.2. A comprovação do vínculo profissional do Responsável Técnico e Equipe Técnica, será feita mediante a: cópia da carteira de trabalho (CTPS), ficha de registro de empregado, ato constitutivo da empresa (no caso de sócio); contrato de prestação de serviço, ou ainda, declaração de contratação futura do profissional, desde que acompanhada da declaração de anuência ou concordância assinada pelo profissional;</w:t>
      </w:r>
    </w:p>
    <w:p>
      <w:pPr>
        <w:pStyle w:val="BodyText"/>
        <w:bidi w:val="0"/>
        <w:spacing w:lineRule="auto" w:line="276" w:before="113" w:after="113"/>
        <w:ind w:left="0" w:right="0"/>
        <w:jc w:val="both"/>
        <w:rPr>
          <w:lang w:val="pt-BR"/>
        </w:rPr>
      </w:pPr>
      <w:r>
        <w:rPr>
          <w:rFonts w:ascii="Verdana" w:hAnsi="Verdana"/>
          <w:color w:val="000000"/>
          <w:sz w:val="20"/>
          <w:szCs w:val="20"/>
          <w:lang w:val="pt-BR"/>
        </w:rPr>
        <w:t>5.9.3.. O profissional indicado para fins de comprovação da capacitação técnico-profissional deverá ser o responsável pelo acompanhamento da execução dos serviços de que tratam o objeto desta contratação direta, admitindo-se a substituição por profissionais de experiência equivalente ou superior</w:t>
      </w:r>
      <w:r>
        <w:rPr>
          <w:rFonts w:ascii="Verdana" w:hAnsi="Verdana"/>
          <w:bCs/>
          <w:color w:val="000000"/>
          <w:sz w:val="20"/>
          <w:szCs w:val="20"/>
          <w:lang w:val="pt-BR"/>
        </w:rPr>
        <w:t>.</w:t>
      </w:r>
    </w:p>
    <w:p>
      <w:pPr>
        <w:pStyle w:val="BodyText"/>
        <w:bidi w:val="0"/>
        <w:spacing w:lineRule="auto" w:line="276" w:before="113" w:after="113"/>
        <w:ind w:left="0" w:right="0"/>
        <w:jc w:val="both"/>
        <w:rPr>
          <w:rFonts w:ascii="Verdana" w:hAnsi="Verdana"/>
          <w:bCs/>
          <w:color w:val="000000"/>
          <w:sz w:val="20"/>
          <w:szCs w:val="20"/>
        </w:rPr>
      </w:pPr>
      <w:r>
        <w:rPr>
          <w:rFonts w:ascii="Verdana" w:hAnsi="Verdana"/>
          <w:bCs/>
          <w:color w:val="000000"/>
          <w:sz w:val="20"/>
          <w:szCs w:val="20"/>
        </w:rPr>
      </w:r>
    </w:p>
    <w:p>
      <w:pPr>
        <w:pStyle w:val="Nivel1"/>
        <w:suppressAutoHyphens w:val="true"/>
        <w:spacing w:lineRule="auto" w:line="276" w:before="113" w:after="113"/>
        <w:ind w:hanging="0" w:left="0" w:right="0"/>
        <w:rPr>
          <w:lang w:val="pt-BR"/>
        </w:rPr>
      </w:pPr>
      <w:r>
        <w:rPr>
          <w:rFonts w:ascii="Verdana" w:hAnsi="Verdana"/>
          <w:i w:val="false"/>
          <w:iCs w:val="false"/>
          <w:sz w:val="20"/>
          <w:szCs w:val="20"/>
          <w:lang w:val="pt-BR"/>
        </w:rPr>
        <w:t>6. ENTREGA E CRITÉRIOS DE ACEITAÇÃO DO OBJETO.</w:t>
      </w:r>
    </w:p>
    <w:p>
      <w:pPr>
        <w:pStyle w:val="BodyText"/>
        <w:bidi w:val="0"/>
        <w:spacing w:lineRule="auto" w:line="276" w:before="113" w:after="113"/>
        <w:ind w:left="0" w:right="0"/>
        <w:jc w:val="both"/>
        <w:rPr>
          <w:lang w:val="pt-BR"/>
        </w:rPr>
      </w:pPr>
      <w:r>
        <w:rPr>
          <w:rFonts w:ascii="Verdana" w:hAnsi="Verdana"/>
          <w:color w:val="000000"/>
          <w:sz w:val="20"/>
          <w:szCs w:val="20"/>
          <w:lang w:val="pt-BR"/>
        </w:rPr>
        <w:t xml:space="preserve">6.1. O prazo para início da </w:t>
      </w:r>
      <w:r>
        <w:rPr>
          <w:rFonts w:eastAsia="NSimSun" w:cs="Lucida Sans" w:ascii="Verdana" w:hAnsi="Verdana"/>
          <w:color w:val="000000"/>
          <w:kern w:val="0"/>
          <w:sz w:val="20"/>
          <w:szCs w:val="20"/>
          <w:lang w:val="pt-BR" w:eastAsia="zh-CN" w:bidi="hi-IN"/>
        </w:rPr>
        <w:t>aquisição</w:t>
      </w:r>
      <w:r>
        <w:rPr>
          <w:rFonts w:ascii="Verdana" w:hAnsi="Verdana"/>
          <w:color w:val="000000"/>
          <w:sz w:val="20"/>
          <w:szCs w:val="20"/>
          <w:lang w:val="pt-BR"/>
        </w:rPr>
        <w:t xml:space="preserve"> do objeto deverá ser a partir da assinatura d</w:t>
      </w:r>
      <w:r>
        <w:rPr>
          <w:rFonts w:eastAsia="NSimSun" w:cs="Lucida Sans" w:ascii="Verdana" w:hAnsi="Verdana"/>
          <w:color w:val="000000"/>
          <w:kern w:val="0"/>
          <w:sz w:val="20"/>
          <w:szCs w:val="20"/>
          <w:lang w:val="pt-BR" w:eastAsia="zh-CN" w:bidi="hi-IN"/>
        </w:rPr>
        <w:t xml:space="preserve">a </w:t>
      </w:r>
      <w:r>
        <w:rPr>
          <w:rFonts w:ascii="Verdana" w:hAnsi="Verdana"/>
          <w:color w:val="000000"/>
          <w:sz w:val="20"/>
          <w:szCs w:val="20"/>
          <w:lang w:val="pt-BR"/>
        </w:rPr>
        <w:t>ata de registro de preços, e sua entrega deverá ocorrer 10 dias após a emissão da autorização de fornecimento.</w:t>
      </w:r>
    </w:p>
    <w:p>
      <w:pPr>
        <w:pStyle w:val="BodyText"/>
        <w:bidi w:val="0"/>
        <w:spacing w:lineRule="auto" w:line="276" w:before="113" w:after="113"/>
        <w:ind w:left="0" w:right="0"/>
        <w:jc w:val="both"/>
        <w:rPr>
          <w:lang w:val="pt-BR"/>
        </w:rPr>
      </w:pPr>
      <w:r>
        <w:rPr>
          <w:rFonts w:ascii="Verdana" w:hAnsi="Verdana"/>
          <w:color w:val="000000"/>
          <w:sz w:val="20"/>
          <w:szCs w:val="20"/>
          <w:lang w:val="pt-BR"/>
        </w:rPr>
        <w:t xml:space="preserve">6.2. O objeto poderá ser </w:t>
      </w:r>
      <w:r>
        <w:rPr>
          <w:rFonts w:eastAsia="NSimSun" w:cs="Lucida Sans" w:ascii="Verdana" w:hAnsi="Verdana"/>
          <w:color w:val="000000"/>
          <w:kern w:val="0"/>
          <w:sz w:val="20"/>
          <w:szCs w:val="20"/>
          <w:lang w:val="pt-BR" w:eastAsia="zh-CN" w:bidi="hi-IN"/>
        </w:rPr>
        <w:t>entregue</w:t>
      </w:r>
      <w:r>
        <w:rPr>
          <w:rFonts w:ascii="Verdana" w:hAnsi="Verdana"/>
          <w:color w:val="000000"/>
          <w:sz w:val="20"/>
          <w:szCs w:val="20"/>
          <w:lang w:val="pt-BR"/>
        </w:rPr>
        <w:t xml:space="preserve"> nas instalações da Contratante, </w:t>
      </w:r>
      <w:r>
        <w:rPr>
          <w:rFonts w:eastAsia="NSimSun" w:cs="Lucida Sans" w:ascii="Verdana" w:hAnsi="Verdana"/>
          <w:color w:val="000000"/>
          <w:kern w:val="0"/>
          <w:sz w:val="20"/>
          <w:szCs w:val="20"/>
          <w:lang w:val="pt-BR" w:eastAsia="zh-CN" w:bidi="hi-IN"/>
        </w:rPr>
        <w:t>e seu local exato será indicado no momento da efetiva contratação.</w:t>
      </w:r>
      <w:bookmarkStart w:id="1" w:name="page66R_mcid13"/>
    </w:p>
    <w:p>
      <w:pPr>
        <w:pStyle w:val="Normal"/>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6.3. CONTATO:</w:t>
      </w:r>
    </w:p>
    <w:p>
      <w:pPr>
        <w:pStyle w:val="Normal"/>
        <w:numPr>
          <w:ilvl w:val="0"/>
          <w:numId w:val="3"/>
        </w:numPr>
        <w:spacing w:lineRule="auto" w:line="276" w:before="113" w:after="113"/>
        <w:jc w:val="both"/>
        <w:rPr>
          <w:lang w:val="pt-BR"/>
        </w:rPr>
      </w:pPr>
      <w:r>
        <w:rPr>
          <w:rFonts w:cs="Arial" w:ascii="Verdana" w:hAnsi="Verdana"/>
          <w:b/>
          <w:bCs/>
          <w:i w:val="false"/>
          <w:iCs w:val="false"/>
          <w:color w:val="000000"/>
          <w:sz w:val="20"/>
          <w:szCs w:val="20"/>
          <w:lang w:val="pt-BR"/>
        </w:rPr>
        <w:t>Telefone:</w:t>
      </w:r>
      <w:r>
        <w:rPr>
          <w:rFonts w:cs="Arial" w:ascii="Verdana" w:hAnsi="Verdana"/>
          <w:b w:val="false"/>
          <w:bCs w:val="false"/>
          <w:i w:val="false"/>
          <w:iCs w:val="false"/>
          <w:color w:val="000000"/>
          <w:sz w:val="20"/>
          <w:szCs w:val="20"/>
          <w:lang w:val="pt-BR"/>
        </w:rPr>
        <w:t xml:space="preserve"> (27) 9</w:t>
      </w:r>
      <w:r>
        <w:rPr>
          <w:rFonts w:eastAsia="Times New Roman" w:cs="Arial" w:ascii="Verdana" w:hAnsi="Verdana"/>
          <w:b w:val="false"/>
          <w:bCs w:val="false"/>
          <w:i w:val="false"/>
          <w:iCs w:val="false"/>
          <w:color w:val="000000"/>
          <w:kern w:val="0"/>
          <w:sz w:val="20"/>
          <w:szCs w:val="20"/>
          <w:lang w:val="pt-BR" w:eastAsia="pt-BR" w:bidi="ar-SA"/>
        </w:rPr>
        <w:t>9975-6571 / 99991-3498</w:t>
      </w:r>
    </w:p>
    <w:p>
      <w:pPr>
        <w:pStyle w:val="Normal"/>
        <w:numPr>
          <w:ilvl w:val="0"/>
          <w:numId w:val="3"/>
        </w:numPr>
        <w:spacing w:lineRule="auto" w:line="276" w:before="113" w:after="113"/>
        <w:jc w:val="both"/>
        <w:rPr/>
      </w:pPr>
      <w:r>
        <w:rPr>
          <w:rFonts w:cs="Arial" w:ascii="Verdana" w:hAnsi="Verdana"/>
          <w:b/>
          <w:bCs/>
          <w:i w:val="false"/>
          <w:iCs w:val="false"/>
          <w:color w:val="000000"/>
          <w:sz w:val="20"/>
          <w:szCs w:val="20"/>
          <w:lang w:val="pt-BR"/>
        </w:rPr>
        <w:t>E-mail:</w:t>
      </w:r>
      <w:r>
        <w:rPr>
          <w:rFonts w:cs="Arial" w:ascii="Verdana" w:hAnsi="Verdana"/>
          <w:b w:val="false"/>
          <w:bCs w:val="false"/>
          <w:i w:val="false"/>
          <w:iCs w:val="false"/>
          <w:color w:val="000000"/>
          <w:sz w:val="20"/>
          <w:szCs w:val="20"/>
          <w:lang w:val="pt-BR"/>
        </w:rPr>
        <w:t xml:space="preserve"> </w:t>
      </w:r>
      <w:r>
        <w:rPr>
          <w:rStyle w:val="InternetLink"/>
          <w:rFonts w:cs="Arial" w:ascii="Verdana" w:hAnsi="Verdana"/>
          <w:b w:val="false"/>
          <w:bCs w:val="false"/>
          <w:i w:val="false"/>
          <w:iCs w:val="false"/>
          <w:color w:val="000000"/>
          <w:sz w:val="20"/>
          <w:szCs w:val="20"/>
          <w:u w:val="none"/>
          <w:lang w:val="pt-BR"/>
        </w:rPr>
        <w:t>assistenciasgp@gmail.com</w:t>
      </w:r>
    </w:p>
    <w:p>
      <w:pPr>
        <w:pStyle w:val="Normal"/>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Responsável: Secretaria Municipal de Assistência, Desenvolvimento Social e Família</w:t>
      </w:r>
    </w:p>
    <w:p>
      <w:pPr>
        <w:pStyle w:val="Normal"/>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6.4. O prazo de validade na data da entrega não poderá ser inferior à metade do prazo total recomendado pelo fabricante.</w:t>
      </w:r>
    </w:p>
    <w:p>
      <w:pPr>
        <w:pStyle w:val="Normal"/>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6.5. Os bens serão recebidos provisoriamente no prazo de 01 (um) dia, pelo (a) responsável pelo acompanhamento e fiscalização da ata de registro de preços, para efeito de posterior verificação de sua conformidade com as especificações constantes neste Termo de Referência e na proposta.</w:t>
      </w:r>
    </w:p>
    <w:p>
      <w:pPr>
        <w:pStyle w:val="Normal"/>
        <w:spacing w:lineRule="auto" w:line="276" w:before="113" w:after="113"/>
        <w:ind w:hanging="0" w:left="0" w:right="0"/>
        <w:jc w:val="both"/>
        <w:rPr>
          <w:lang w:val="pt-BR"/>
        </w:rPr>
      </w:pPr>
      <w:r>
        <w:rPr>
          <w:rFonts w:ascii="Verdana" w:hAnsi="Verdana"/>
          <w:b w:val="false"/>
          <w:bCs w:val="false"/>
          <w:sz w:val="20"/>
          <w:szCs w:val="20"/>
          <w:lang w:val="pt-BR"/>
        </w:rPr>
        <w:t>6</w:t>
      </w:r>
      <w:r>
        <w:rPr>
          <w:rFonts w:cs="Arial" w:ascii="Verdana" w:hAnsi="Verdana"/>
          <w:b w:val="false"/>
          <w:bCs w:val="false"/>
          <w:i w:val="false"/>
          <w:iCs w:val="false"/>
          <w:color w:val="000000"/>
          <w:sz w:val="20"/>
          <w:szCs w:val="20"/>
          <w:lang w:val="pt-BR"/>
        </w:rPr>
        <w:t xml:space="preserve">.6. Os </w:t>
      </w:r>
      <w:r>
        <w:rPr>
          <w:rFonts w:eastAsia="Times New Roman" w:cs="Arial" w:ascii="Verdana" w:hAnsi="Verdana"/>
          <w:b w:val="false"/>
          <w:bCs w:val="false"/>
          <w:i w:val="false"/>
          <w:iCs w:val="false"/>
          <w:color w:val="000000"/>
          <w:sz w:val="20"/>
          <w:szCs w:val="20"/>
          <w:lang w:val="pt-BR"/>
        </w:rPr>
        <w:t>itens</w:t>
      </w:r>
      <w:r>
        <w:rPr>
          <w:rFonts w:cs="Arial" w:ascii="Verdana" w:hAnsi="Verdana"/>
          <w:b w:val="false"/>
          <w:bCs w:val="false"/>
          <w:i w:val="false"/>
          <w:iCs w:val="false"/>
          <w:color w:val="000000"/>
          <w:sz w:val="20"/>
          <w:szCs w:val="20"/>
          <w:lang w:val="pt-BR"/>
        </w:rPr>
        <w:t xml:space="preserve"> poderão ser rejeitados, no todo ou em parte, quando em desacordo com as especificações constantes neste Termo de Referência e na proposta, devendo ser substituídos no prazo de 24h (vinte e quatro horas), a contar da notificação</w:t>
      </w:r>
      <w:r>
        <w:rPr>
          <w:rFonts w:ascii="Verdana" w:hAnsi="Verdana"/>
          <w:b w:val="false"/>
          <w:bCs w:val="false"/>
          <w:sz w:val="20"/>
          <w:szCs w:val="20"/>
          <w:lang w:val="pt-BR"/>
        </w:rPr>
        <w:br/>
      </w:r>
      <w:r>
        <w:rPr>
          <w:rFonts w:cs="Arial" w:ascii="Verdana" w:hAnsi="Verdana"/>
          <w:b w:val="false"/>
          <w:bCs w:val="false"/>
          <w:i w:val="false"/>
          <w:iCs w:val="false"/>
          <w:color w:val="000000"/>
          <w:sz w:val="20"/>
          <w:szCs w:val="20"/>
          <w:lang w:val="pt-BR"/>
        </w:rPr>
        <w:t>da contratada, às suas custas, sem prejuízo da aplicação das penalidades.</w:t>
      </w:r>
      <w:r>
        <w:rPr>
          <w:rFonts w:ascii="Verdana" w:hAnsi="Verdana"/>
          <w:b w:val="false"/>
          <w:bCs w:val="false"/>
          <w:sz w:val="20"/>
          <w:szCs w:val="20"/>
          <w:lang w:val="pt-BR"/>
        </w:rPr>
        <w:br/>
        <w:t>6</w:t>
      </w:r>
      <w:r>
        <w:rPr>
          <w:rFonts w:cs="Arial" w:ascii="Verdana" w:hAnsi="Verdana"/>
          <w:b w:val="false"/>
          <w:bCs w:val="false"/>
          <w:i w:val="false"/>
          <w:iCs w:val="false"/>
          <w:color w:val="000000"/>
          <w:sz w:val="20"/>
          <w:szCs w:val="20"/>
          <w:lang w:val="pt-BR"/>
        </w:rPr>
        <w:t xml:space="preserve">.7. </w:t>
      </w:r>
      <w:r>
        <w:rPr>
          <w:rFonts w:cs="Arial" w:ascii="Verdana" w:hAnsi="Verdana"/>
          <w:i w:val="false"/>
          <w:iCs w:val="false"/>
          <w:color w:val="000000"/>
          <w:sz w:val="20"/>
          <w:szCs w:val="20"/>
          <w:lang w:val="pt-BR"/>
        </w:rPr>
        <w:t>O recebimento provisório ou definitivo do objeto não exclui a responsabilidade da contratada pelos prejuízos resultantes da incorreta execução do contrato.</w:t>
      </w:r>
    </w:p>
    <w:p>
      <w:pPr>
        <w:pStyle w:val="Normal"/>
        <w:spacing w:lineRule="auto" w:line="276" w:before="113" w:after="113"/>
        <w:ind w:hanging="0" w:left="0" w:right="0"/>
        <w:jc w:val="both"/>
        <w:rPr>
          <w:rFonts w:ascii="Verdana" w:hAnsi="Verdana" w:cs="Arial"/>
          <w:i w:val="false"/>
          <w:i w:val="false"/>
          <w:iCs w:val="false"/>
          <w:color w:val="000000"/>
          <w:sz w:val="20"/>
          <w:szCs w:val="20"/>
          <w:lang w:val="pt-BR"/>
        </w:rPr>
      </w:pPr>
      <w:r>
        <w:rPr>
          <w:rFonts w:cs="Arial" w:ascii="Verdana" w:hAnsi="Verdana"/>
          <w:i w:val="false"/>
          <w:iCs w:val="false"/>
          <w:color w:val="000000"/>
          <w:sz w:val="20"/>
          <w:szCs w:val="20"/>
          <w:lang w:val="pt-BR"/>
        </w:rPr>
      </w:r>
    </w:p>
    <w:p>
      <w:pPr>
        <w:pStyle w:val="Normal"/>
        <w:spacing w:lineRule="auto" w:line="276" w:before="113" w:after="113"/>
        <w:ind w:hanging="0" w:left="0" w:right="0"/>
        <w:jc w:val="both"/>
        <w:rPr>
          <w:lang w:val="pt-BR"/>
        </w:rPr>
      </w:pPr>
      <w:r>
        <w:rPr>
          <w:rFonts w:cs="Arial" w:ascii="Verdana" w:hAnsi="Verdana"/>
          <w:b/>
          <w:bCs/>
          <w:i w:val="false"/>
          <w:iCs w:val="false"/>
          <w:color w:val="000000"/>
          <w:sz w:val="20"/>
          <w:szCs w:val="20"/>
          <w:lang w:val="pt-BR"/>
        </w:rPr>
        <w:t>7. OBRIGAÇÕES DA CONTRATANTE</w:t>
      </w:r>
    </w:p>
    <w:p>
      <w:pPr>
        <w:pStyle w:val="Normal"/>
        <w:spacing w:lineRule="auto" w:line="276" w:before="113" w:after="113"/>
        <w:ind w:hanging="0" w:left="0" w:right="0"/>
        <w:jc w:val="both"/>
        <w:rPr>
          <w:lang w:val="pt-BR"/>
        </w:rPr>
      </w:pPr>
      <w:r>
        <w:rPr>
          <w:rFonts w:eastAsia="Times New Roman" w:cs="Arial" w:ascii="Verdana" w:hAnsi="Verdana"/>
          <w:b w:val="false"/>
          <w:bCs w:val="false"/>
          <w:i w:val="false"/>
          <w:iCs w:val="false"/>
          <w:color w:val="000000"/>
          <w:sz w:val="20"/>
          <w:szCs w:val="20"/>
          <w:lang w:val="pt-BR"/>
        </w:rPr>
        <w:t>7.1.</w:t>
      </w:r>
      <w:r>
        <w:rPr>
          <w:rFonts w:cs="Arial" w:ascii="Verdana" w:hAnsi="Verdana"/>
          <w:b w:val="false"/>
          <w:bCs w:val="false"/>
          <w:i w:val="false"/>
          <w:iCs w:val="false"/>
          <w:color w:val="000000"/>
          <w:sz w:val="20"/>
          <w:szCs w:val="20"/>
          <w:lang w:val="pt-BR"/>
        </w:rPr>
        <w:t xml:space="preserve"> Receber os objetos no prazo e condições estabelecidas neste Termo de Referência e seus anexos.</w:t>
      </w:r>
    </w:p>
    <w:p>
      <w:pPr>
        <w:pStyle w:val="Normal"/>
        <w:spacing w:lineRule="auto" w:line="276" w:before="113" w:after="113"/>
        <w:ind w:hanging="0" w:left="0" w:right="0"/>
        <w:jc w:val="both"/>
        <w:rPr>
          <w:lang w:val="pt-BR"/>
        </w:rPr>
      </w:pPr>
      <w:r>
        <w:rPr>
          <w:rFonts w:ascii="Verdana" w:hAnsi="Verdana"/>
          <w:b w:val="false"/>
          <w:bCs w:val="false"/>
          <w:sz w:val="20"/>
          <w:szCs w:val="20"/>
          <w:lang w:val="pt-BR"/>
        </w:rPr>
        <w:t>7</w:t>
      </w:r>
      <w:r>
        <w:rPr>
          <w:rFonts w:cs="Arial" w:ascii="Verdana" w:hAnsi="Verdana"/>
          <w:b w:val="false"/>
          <w:bCs w:val="false"/>
          <w:i w:val="false"/>
          <w:iCs w:val="false"/>
          <w:color w:val="000000"/>
          <w:sz w:val="20"/>
          <w:szCs w:val="20"/>
          <w:lang w:val="pt-BR"/>
        </w:rPr>
        <w:t>.2. Verificar minuciosamente, no prazo fixado, a conformidade dos bens recebidos provisoriamente com as especificações constantes neste Termo de Referência e da proposta, para fins de aceitação e recebimento definitivo.</w:t>
      </w:r>
      <w:bookmarkStart w:id="2" w:name="page68R_mcid1"/>
    </w:p>
    <w:p>
      <w:pPr>
        <w:pStyle w:val="Normal"/>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7.3. Comunicar à Contratada, por escrito, sobre imperfeições, falhas ou irregularidades verificadas no objeto fornecido, para que seja substituído, reparado ou corrigido.</w:t>
      </w:r>
    </w:p>
    <w:p>
      <w:pPr>
        <w:pStyle w:val="Normal"/>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7.4. Acompanhar e fiscalizar o cumprimento das obrigações da Contratada, através de comissão/servidor especialmente designado.</w:t>
      </w:r>
    </w:p>
    <w:p>
      <w:pPr>
        <w:pStyle w:val="Normal"/>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7.5. Efetuar o pagamento à Contratada no valor correspondente ao fornecimento dos objetos, no prazo e forma estabelecidos neste TR e seus anexos.</w:t>
      </w:r>
    </w:p>
    <w:p>
      <w:pPr>
        <w:pStyle w:val="Normal"/>
        <w:spacing w:lineRule="auto" w:line="276" w:before="113" w:after="113"/>
        <w:ind w:hanging="0" w:left="0" w:right="0"/>
        <w:jc w:val="both"/>
        <w:rPr>
          <w:lang w:val="pt-BR"/>
        </w:rPr>
      </w:pPr>
      <w:r>
        <w:rPr>
          <w:rFonts w:eastAsia="Times New Roman" w:cs="Arial" w:ascii="Verdana" w:hAnsi="Verdana"/>
          <w:b w:val="false"/>
          <w:bCs w:val="false"/>
          <w:i w:val="false"/>
          <w:iCs w:val="false"/>
          <w:color w:val="000000"/>
          <w:sz w:val="20"/>
          <w:szCs w:val="20"/>
          <w:lang w:val="pt-BR"/>
        </w:rPr>
        <w:t xml:space="preserve">7.6. </w:t>
      </w:r>
      <w:r>
        <w:rPr>
          <w:rFonts w:cs="Arial" w:ascii="Verdana" w:hAnsi="Verdana"/>
          <w:b w:val="false"/>
          <w:bCs w:val="false"/>
          <w:i w:val="false"/>
          <w:iCs w:val="false"/>
          <w:color w:val="000000"/>
          <w:sz w:val="20"/>
          <w:szCs w:val="20"/>
          <w:lang w:val="pt-BR"/>
        </w:rPr>
        <w:t xml:space="preserve">A Administração não responderá por quaisquer compromissos assumidos pela Contratada com terceiros, ainda que vinculados à execução da presente </w:t>
      </w:r>
      <w:r>
        <w:rPr>
          <w:rFonts w:eastAsia="Times New Roman" w:cs="Arial" w:ascii="Verdana" w:hAnsi="Verdana"/>
          <w:b w:val="false"/>
          <w:bCs w:val="false"/>
          <w:i w:val="false"/>
          <w:iCs w:val="false"/>
          <w:color w:val="000000"/>
          <w:sz w:val="20"/>
          <w:szCs w:val="20"/>
          <w:lang w:val="pt-BR"/>
        </w:rPr>
        <w:t>Ata de Registro de Preços</w:t>
      </w:r>
      <w:r>
        <w:rPr>
          <w:rFonts w:cs="Arial" w:ascii="Verdana" w:hAnsi="Verdana"/>
          <w:b w:val="false"/>
          <w:bCs w:val="false"/>
          <w:i w:val="false"/>
          <w:iCs w:val="false"/>
          <w:color w:val="000000"/>
          <w:sz w:val="20"/>
          <w:szCs w:val="20"/>
          <w:lang w:val="pt-BR"/>
        </w:rPr>
        <w:t>, bem como por qualquer dano causado a terceiros em decorrência de ato da Contratada, de seus empregados, prepostos ou subordinados.</w:t>
      </w:r>
    </w:p>
    <w:p>
      <w:pPr>
        <w:pStyle w:val="Normal"/>
        <w:spacing w:lineRule="auto" w:line="276" w:before="113" w:after="113"/>
        <w:ind w:hanging="0" w:left="0" w:right="0"/>
        <w:jc w:val="both"/>
        <w:rPr>
          <w:rFonts w:ascii="Verdana" w:hAnsi="Verdana"/>
          <w:sz w:val="20"/>
          <w:szCs w:val="20"/>
          <w:lang w:val="pt-BR"/>
        </w:rPr>
      </w:pPr>
      <w:r>
        <w:rPr>
          <w:rFonts w:ascii="Verdana" w:hAnsi="Verdana"/>
          <w:sz w:val="20"/>
          <w:szCs w:val="20"/>
          <w:lang w:val="pt-BR"/>
        </w:rPr>
      </w:r>
    </w:p>
    <w:p>
      <w:pPr>
        <w:pStyle w:val="Normal"/>
        <w:spacing w:lineRule="auto" w:line="276" w:before="113" w:after="113"/>
        <w:ind w:hanging="0" w:left="0" w:right="0"/>
        <w:jc w:val="both"/>
        <w:rPr>
          <w:lang w:val="pt-BR"/>
        </w:rPr>
      </w:pPr>
      <w:r>
        <w:rPr>
          <w:rFonts w:cs="Arial" w:ascii="Verdana" w:hAnsi="Verdana"/>
          <w:b/>
          <w:bCs/>
          <w:i w:val="false"/>
          <w:iCs w:val="false"/>
          <w:color w:val="000000"/>
          <w:sz w:val="20"/>
          <w:szCs w:val="20"/>
          <w:lang w:val="pt-BR"/>
        </w:rPr>
        <w:t>8. OBRIGAÇÕES DA CONTRATADA</w:t>
      </w:r>
    </w:p>
    <w:p>
      <w:pPr>
        <w:pStyle w:val="Normal"/>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8.1. A Contratada deve cumprir todas as obrigações constantes neste TR, seus anexos e sua proposta, assumindo como exclusivamente seus os riscos e as despesas decorrentes da boa e perfeita execução do objeto.</w:t>
      </w:r>
    </w:p>
    <w:p>
      <w:pPr>
        <w:pStyle w:val="Normal"/>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8.2.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pPr>
        <w:pStyle w:val="Normal"/>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8.3. Responsabilizar-se pelos vícios e danos decorrentes do objeto, de acordo com os artigos 12, 13 e 17 a 27, do Código de Defesa do Consumidor (Lei nº 8.078, de 1990).</w:t>
      </w:r>
    </w:p>
    <w:p>
      <w:pPr>
        <w:pStyle w:val="Normal"/>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8.4. Substituir, reparar ou corrigir, às suas expensas, no prazo fixado neste Termo de Referência, o objeto com avarias ou defeitos.</w:t>
      </w:r>
    </w:p>
    <w:p>
      <w:pPr>
        <w:pStyle w:val="Normal"/>
        <w:spacing w:lineRule="auto" w:line="276" w:before="113" w:after="113"/>
        <w:ind w:hanging="0" w:left="0" w:right="0"/>
        <w:jc w:val="both"/>
        <w:rPr>
          <w:lang w:val="pt-BR"/>
        </w:rPr>
      </w:pPr>
      <w:r>
        <w:rPr>
          <w:rFonts w:eastAsia="Times New Roman" w:cs="Arial" w:ascii="Verdana" w:hAnsi="Verdana"/>
          <w:b w:val="false"/>
          <w:bCs w:val="false"/>
          <w:i w:val="false"/>
          <w:iCs w:val="false"/>
          <w:color w:val="000000"/>
          <w:sz w:val="20"/>
          <w:szCs w:val="20"/>
          <w:lang w:val="pt-BR"/>
        </w:rPr>
        <w:t xml:space="preserve">8.5. </w:t>
      </w:r>
      <w:r>
        <w:rPr>
          <w:rFonts w:cs="Arial" w:ascii="Verdana" w:hAnsi="Verdana"/>
          <w:b w:val="false"/>
          <w:bCs w:val="false"/>
          <w:i w:val="false"/>
          <w:iCs w:val="false"/>
          <w:color w:val="000000"/>
          <w:sz w:val="20"/>
          <w:szCs w:val="20"/>
          <w:lang w:val="pt-BR"/>
        </w:rPr>
        <w:t>Comunicar à Contratante, no prazo máximo de 24 (vinte e quatro) horas que antecede a data da entrega, os motivos que impossibilitem o cumprimento do prazo previsto, com a devida comprovação.</w:t>
      </w:r>
    </w:p>
    <w:p>
      <w:pPr>
        <w:pStyle w:val="Normal"/>
        <w:spacing w:lineRule="auto" w:line="276" w:before="113" w:after="113"/>
        <w:ind w:hanging="0" w:left="0" w:right="0"/>
        <w:jc w:val="both"/>
        <w:rPr>
          <w:lang w:val="pt-BR"/>
        </w:rPr>
      </w:pPr>
      <w:r>
        <w:rPr>
          <w:rFonts w:eastAsia="Times New Roman" w:cs="Arial" w:ascii="Verdana" w:hAnsi="Verdana"/>
          <w:b w:val="false"/>
          <w:bCs w:val="false"/>
          <w:i w:val="false"/>
          <w:iCs w:val="false"/>
          <w:color w:val="000000"/>
          <w:sz w:val="20"/>
          <w:szCs w:val="20"/>
          <w:lang w:val="pt-BR"/>
        </w:rPr>
        <w:t xml:space="preserve">8.6. </w:t>
      </w:r>
      <w:r>
        <w:rPr>
          <w:rFonts w:cs="Arial" w:ascii="Verdana" w:hAnsi="Verdana"/>
          <w:b w:val="false"/>
          <w:bCs w:val="false"/>
          <w:i w:val="false"/>
          <w:iCs w:val="false"/>
          <w:color w:val="000000"/>
          <w:sz w:val="20"/>
          <w:szCs w:val="20"/>
          <w:lang w:val="pt-BR"/>
        </w:rPr>
        <w:t>Manter, durante toda a execução d</w:t>
      </w:r>
      <w:r>
        <w:rPr>
          <w:rFonts w:eastAsia="Times New Roman" w:cs="Arial" w:ascii="Verdana" w:hAnsi="Verdana"/>
          <w:b w:val="false"/>
          <w:bCs w:val="false"/>
          <w:i w:val="false"/>
          <w:iCs w:val="false"/>
          <w:color w:val="000000"/>
          <w:sz w:val="20"/>
          <w:szCs w:val="20"/>
          <w:lang w:val="pt-BR"/>
        </w:rPr>
        <w:t>a ata de registro de preços</w:t>
      </w:r>
      <w:r>
        <w:rPr>
          <w:rFonts w:cs="Arial" w:ascii="Verdana" w:hAnsi="Verdana"/>
          <w:b w:val="false"/>
          <w:bCs w:val="false"/>
          <w:i w:val="false"/>
          <w:iCs w:val="false"/>
          <w:color w:val="000000"/>
          <w:sz w:val="20"/>
          <w:szCs w:val="20"/>
          <w:lang w:val="pt-BR"/>
        </w:rPr>
        <w:t>, em compatibilidade com as obrigações assumidas, todas as condições de habilitação e qualificação exigidas na licitação.</w:t>
      </w:r>
    </w:p>
    <w:p>
      <w:pPr>
        <w:pStyle w:val="Normal"/>
        <w:tabs>
          <w:tab w:val="clear" w:pos="708"/>
          <w:tab w:val="left" w:pos="0" w:leader="none"/>
        </w:tabs>
        <w:spacing w:lineRule="auto" w:line="276" w:before="113" w:after="113"/>
        <w:ind w:hanging="0" w:left="0" w:right="0"/>
        <w:jc w:val="both"/>
        <w:rPr>
          <w:lang w:val="pt-BR"/>
        </w:rPr>
      </w:pPr>
      <w:r>
        <w:rPr>
          <w:rFonts w:eastAsia="Times New Roman" w:cs="Arial" w:ascii="Verdana" w:hAnsi="Verdana"/>
          <w:b w:val="false"/>
          <w:bCs w:val="false"/>
          <w:i w:val="false"/>
          <w:iCs w:val="false"/>
          <w:color w:val="000000"/>
          <w:sz w:val="20"/>
          <w:szCs w:val="20"/>
          <w:lang w:val="pt-BR"/>
        </w:rPr>
        <w:t xml:space="preserve">8.7. </w:t>
      </w:r>
      <w:r>
        <w:rPr>
          <w:rFonts w:cs="Arial" w:ascii="Verdana" w:hAnsi="Verdana"/>
          <w:b w:val="false"/>
          <w:bCs w:val="false"/>
          <w:i w:val="false"/>
          <w:iCs w:val="false"/>
          <w:color w:val="000000"/>
          <w:sz w:val="20"/>
          <w:szCs w:val="20"/>
          <w:lang w:val="pt-BR"/>
        </w:rPr>
        <w:t>Indicar preposto para representá-la durante a execução da ata de registro de preços.</w:t>
      </w:r>
    </w:p>
    <w:p>
      <w:pPr>
        <w:pStyle w:val="Normal"/>
        <w:tabs>
          <w:tab w:val="clear" w:pos="708"/>
          <w:tab w:val="left" w:pos="0" w:leader="none"/>
        </w:tabs>
        <w:spacing w:lineRule="auto" w:line="276" w:before="113" w:after="113"/>
        <w:ind w:hanging="0" w:left="0" w:right="0"/>
        <w:jc w:val="both"/>
        <w:rPr>
          <w:lang w:val="pt-BR"/>
        </w:rPr>
      </w:pPr>
      <w:r>
        <w:rPr>
          <w:rFonts w:eastAsia="Times New Roman" w:cs="Arial" w:ascii="Verdana" w:hAnsi="Verdana"/>
          <w:b w:val="false"/>
          <w:bCs w:val="false"/>
          <w:i w:val="false"/>
          <w:iCs w:val="false"/>
          <w:color w:val="000000"/>
          <w:sz w:val="20"/>
          <w:szCs w:val="20"/>
          <w:lang w:val="pt-BR"/>
        </w:rPr>
        <w:t xml:space="preserve">8.8. </w:t>
      </w:r>
      <w:r>
        <w:rPr>
          <w:rFonts w:cs="Arial" w:ascii="Verdana" w:hAnsi="Verdana"/>
          <w:b w:val="false"/>
          <w:bCs w:val="false"/>
          <w:i w:val="false"/>
          <w:iCs w:val="false"/>
          <w:color w:val="000000"/>
          <w:sz w:val="20"/>
          <w:szCs w:val="20"/>
          <w:lang w:val="pt-BR"/>
        </w:rPr>
        <w:t>A CONTRATADA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8.9.Durante a execução da ata de registro de preços, a CONTRATADA deverá:</w:t>
      </w:r>
      <w:r>
        <w:rPr>
          <w:rFonts w:ascii="Verdana" w:hAnsi="Verdana"/>
          <w:b w:val="false"/>
          <w:bCs w:val="false"/>
          <w:sz w:val="20"/>
          <w:szCs w:val="20"/>
          <w:lang w:val="pt-BR"/>
        </w:rPr>
        <w:br/>
        <w:t>8</w:t>
      </w:r>
      <w:r>
        <w:rPr>
          <w:rFonts w:eastAsia="Times New Roman" w:cs="Arial" w:ascii="Verdana" w:hAnsi="Verdana"/>
          <w:b w:val="false"/>
          <w:bCs w:val="false"/>
          <w:i w:val="false"/>
          <w:iCs w:val="false"/>
          <w:color w:val="000000"/>
          <w:sz w:val="20"/>
          <w:szCs w:val="20"/>
          <w:lang w:val="pt-BR"/>
        </w:rPr>
        <w:t>.9.1.</w:t>
      </w:r>
      <w:r>
        <w:rPr>
          <w:rFonts w:cs="Arial" w:ascii="Verdana" w:hAnsi="Verdana"/>
          <w:b w:val="false"/>
          <w:bCs w:val="false"/>
          <w:i w:val="false"/>
          <w:iCs w:val="false"/>
          <w:color w:val="000000"/>
          <w:sz w:val="20"/>
          <w:szCs w:val="20"/>
          <w:lang w:val="pt-BR"/>
        </w:rPr>
        <w:t xml:space="preserve"> Atender prontamente às solicitações </w:t>
      </w:r>
      <w:r>
        <w:rPr>
          <w:rFonts w:eastAsia="Times New Roman" w:cs="Arial" w:ascii="Verdana" w:hAnsi="Verdana"/>
          <w:b w:val="false"/>
          <w:bCs w:val="false"/>
          <w:i w:val="false"/>
          <w:iCs w:val="false"/>
          <w:color w:val="000000"/>
          <w:kern w:val="0"/>
          <w:sz w:val="20"/>
          <w:szCs w:val="20"/>
          <w:lang w:val="pt-BR" w:eastAsia="pt-BR" w:bidi="ar-SA"/>
        </w:rPr>
        <w:t>da requerente</w:t>
      </w:r>
      <w:r>
        <w:rPr>
          <w:rFonts w:cs="Arial" w:ascii="Verdana" w:hAnsi="Verdana"/>
          <w:b w:val="false"/>
          <w:bCs w:val="false"/>
          <w:i w:val="false"/>
          <w:iCs w:val="false"/>
          <w:color w:val="000000"/>
          <w:sz w:val="20"/>
          <w:szCs w:val="20"/>
          <w:lang w:val="pt-BR"/>
        </w:rPr>
        <w:t>, no fornecimento dos gêneros alimentícios</w:t>
      </w:r>
      <w:r>
        <w:rPr>
          <w:rFonts w:eastAsia="Times New Roman" w:cs="Arial" w:ascii="Verdana" w:hAnsi="Verdana"/>
          <w:b w:val="false"/>
          <w:bCs w:val="false"/>
          <w:i w:val="false"/>
          <w:iCs w:val="false"/>
          <w:color w:val="000000"/>
          <w:kern w:val="0"/>
          <w:sz w:val="20"/>
          <w:szCs w:val="20"/>
          <w:lang w:val="pt-BR" w:eastAsia="pt-BR" w:bidi="ar-SA"/>
        </w:rPr>
        <w:t>,</w:t>
      </w:r>
      <w:r>
        <w:rPr>
          <w:rFonts w:cs="Arial" w:ascii="Verdana" w:hAnsi="Verdana"/>
          <w:b w:val="false"/>
          <w:bCs w:val="false"/>
          <w:i w:val="false"/>
          <w:iCs w:val="false"/>
          <w:color w:val="000000"/>
          <w:sz w:val="20"/>
          <w:szCs w:val="20"/>
          <w:lang w:val="pt-BR"/>
        </w:rPr>
        <w:t xml:space="preserve"> nas quantidades e especificações deste TERMO DE REFERÊNCIA.</w:t>
      </w:r>
      <w:bookmarkStart w:id="3" w:name="page68R_mcid17"/>
    </w:p>
    <w:p>
      <w:pPr>
        <w:pStyle w:val="Normal"/>
        <w:tabs>
          <w:tab w:val="clear" w:pos="708"/>
          <w:tab w:val="left" w:pos="0" w:leader="none"/>
        </w:tabs>
        <w:spacing w:lineRule="auto" w:line="276" w:before="113" w:after="113"/>
        <w:ind w:hanging="0" w:left="0" w:right="0"/>
        <w:jc w:val="both"/>
        <w:rPr>
          <w:lang w:val="pt-BR"/>
        </w:rPr>
      </w:pPr>
      <w:r>
        <w:rPr>
          <w:rFonts w:eastAsia="Times New Roman" w:cs="Arial" w:ascii="Verdana" w:hAnsi="Verdana"/>
          <w:b w:val="false"/>
          <w:bCs w:val="false"/>
          <w:i w:val="false"/>
          <w:iCs w:val="false"/>
          <w:color w:val="000000"/>
          <w:sz w:val="20"/>
          <w:szCs w:val="20"/>
          <w:lang w:val="pt-BR"/>
        </w:rPr>
        <w:t>8.8.9.</w:t>
      </w:r>
      <w:r>
        <w:rPr>
          <w:rFonts w:cs="Arial" w:ascii="Verdana" w:hAnsi="Verdana"/>
          <w:b w:val="false"/>
          <w:bCs w:val="false"/>
          <w:i w:val="false"/>
          <w:iCs w:val="false"/>
          <w:color w:val="000000"/>
          <w:sz w:val="20"/>
          <w:szCs w:val="20"/>
          <w:lang w:val="pt-BR"/>
        </w:rPr>
        <w:t>2. A nota fiscal deverá ser acompanhada pelas Certidões de Regularidades Fiscais.</w:t>
      </w:r>
      <w:r>
        <w:rPr>
          <w:rFonts w:ascii="Verdana" w:hAnsi="Verdana"/>
          <w:b w:val="false"/>
          <w:bCs w:val="false"/>
          <w:sz w:val="20"/>
          <w:szCs w:val="20"/>
          <w:lang w:val="pt-BR"/>
        </w:rPr>
        <w:br/>
        <w:t>8</w:t>
      </w:r>
      <w:r>
        <w:rPr>
          <w:rFonts w:eastAsia="Times New Roman" w:cs="Arial" w:ascii="Verdana" w:hAnsi="Verdana"/>
          <w:b w:val="false"/>
          <w:bCs w:val="false"/>
          <w:i w:val="false"/>
          <w:iCs w:val="false"/>
          <w:color w:val="000000"/>
          <w:sz w:val="20"/>
          <w:szCs w:val="20"/>
          <w:lang w:val="pt-BR"/>
        </w:rPr>
        <w:t xml:space="preserve">.9.3. </w:t>
      </w:r>
      <w:r>
        <w:rPr>
          <w:rFonts w:cs="Arial" w:ascii="Verdana" w:hAnsi="Verdana"/>
          <w:b w:val="false"/>
          <w:bCs w:val="false"/>
          <w:i w:val="false"/>
          <w:iCs w:val="false"/>
          <w:color w:val="000000"/>
          <w:sz w:val="20"/>
          <w:szCs w:val="20"/>
          <w:lang w:val="pt-BR"/>
        </w:rPr>
        <w:t>Substituir quaisquer gêneros alimentícios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8.9.4. Não haverá reajustamento de preços do material a contratar durante o período de vigência da ata de registro de preços.</w:t>
      </w:r>
    </w:p>
    <w:p>
      <w:pPr>
        <w:pStyle w:val="Normal"/>
        <w:tabs>
          <w:tab w:val="clear" w:pos="708"/>
          <w:tab w:val="left" w:pos="0" w:leader="none"/>
        </w:tabs>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8.9.5. Os gêneros alimentícios deverão ser entregues em embalagens próprias e perfeitas condições de consumo, e a entrega realizada obrigatoriamente pela empresa fornecedora.</w:t>
      </w:r>
    </w:p>
    <w:p>
      <w:pPr>
        <w:pStyle w:val="Normal"/>
        <w:tabs>
          <w:tab w:val="clear" w:pos="708"/>
          <w:tab w:val="left" w:pos="0" w:leader="none"/>
        </w:tabs>
        <w:spacing w:lineRule="auto" w:line="276" w:before="113" w:after="113"/>
        <w:ind w:hanging="0" w:left="0" w:right="0"/>
        <w:jc w:val="both"/>
        <w:rPr>
          <w:rFonts w:ascii="Verdana" w:hAnsi="Verdana" w:cs="Arial"/>
          <w:b/>
          <w:bCs/>
          <w:color w:val="000000"/>
          <w:sz w:val="20"/>
          <w:szCs w:val="20"/>
          <w:lang w:val="pt-BR"/>
        </w:rPr>
      </w:pPr>
      <w:r>
        <w:rPr>
          <w:rFonts w:cs="Arial" w:ascii="Verdana" w:hAnsi="Verdana"/>
          <w:b/>
          <w:bCs/>
          <w:color w:val="000000"/>
          <w:sz w:val="20"/>
          <w:szCs w:val="20"/>
          <w:lang w:val="pt-BR"/>
        </w:rPr>
      </w:r>
      <w:bookmarkStart w:id="4" w:name="page68R_mcid20"/>
      <w:bookmarkStart w:id="5" w:name="page68R_mcid20"/>
      <w:bookmarkEnd w:id="5"/>
    </w:p>
    <w:p>
      <w:pPr>
        <w:pStyle w:val="Normal"/>
        <w:spacing w:lineRule="auto" w:line="276" w:before="113" w:after="113"/>
        <w:ind w:hanging="0" w:left="0" w:right="0"/>
        <w:jc w:val="both"/>
        <w:rPr>
          <w:lang w:val="pt-BR"/>
        </w:rPr>
      </w:pPr>
      <w:r>
        <w:rPr>
          <w:rFonts w:cs="Arial" w:ascii="Verdana" w:hAnsi="Verdana"/>
          <w:b/>
          <w:bCs/>
          <w:i w:val="false"/>
          <w:iCs w:val="false"/>
          <w:color w:val="000000"/>
          <w:sz w:val="20"/>
          <w:szCs w:val="20"/>
          <w:lang w:val="pt-BR"/>
        </w:rPr>
        <w:t>9. DO CONTROLE E FISCALIZAÇÃO DA EXECUÇÃO</w:t>
      </w:r>
      <w:bookmarkStart w:id="6" w:name="page70R_mcid10"/>
    </w:p>
    <w:p>
      <w:pPr>
        <w:pStyle w:val="Normal"/>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9.1. Nos termos do art. 71 da Lei n.º 14.133/2021, será designado representante para acompanhar e fiscalizar a entrega dos bens, anotando em registro próprio todas as ocorrências relacionadas com a execução e determinando o que for necessário à regularização de falhas ou defeitos observados.</w:t>
      </w:r>
    </w:p>
    <w:p>
      <w:pPr>
        <w:pStyle w:val="Normal"/>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9.2.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de conformidade com a Lei n.º 14.133/2021.</w:t>
      </w:r>
    </w:p>
    <w:p>
      <w:pPr>
        <w:pStyle w:val="Normal"/>
        <w:spacing w:lineRule="auto" w:line="276" w:before="113" w:after="113"/>
        <w:ind w:hanging="0" w:left="0" w:right="0"/>
        <w:jc w:val="both"/>
        <w:rPr>
          <w:lang w:val="pt-BR"/>
        </w:rPr>
      </w:pPr>
      <w:r>
        <w:rPr>
          <w:rFonts w:cs="Arial" w:ascii="Verdana" w:hAnsi="Verdana"/>
          <w:b w:val="false"/>
          <w:bCs w:val="false"/>
          <w:i w:val="false"/>
          <w:iCs w:val="false"/>
          <w:color w:val="000000"/>
          <w:sz w:val="20"/>
          <w:szCs w:val="20"/>
          <w:lang w:val="pt-BR"/>
        </w:rPr>
        <w:t>9.3. O representante da Administração/Requerente anotará em registro próprio todas as ocorrências relacionadas com a execução da ata de registro de preços, indicando dia, mês e ano, bem como o nome dos funcionários eventualmente envolvidos, determinando o que</w:t>
      </w:r>
      <w:r>
        <w:rPr>
          <w:rFonts w:ascii="Verdana" w:hAnsi="Verdana"/>
          <w:sz w:val="20"/>
          <w:szCs w:val="20"/>
          <w:lang w:val="pt-BR"/>
        </w:rPr>
        <w:br/>
      </w:r>
      <w:r>
        <w:rPr>
          <w:rFonts w:cs="Arial" w:ascii="Verdana" w:hAnsi="Verdana"/>
          <w:b w:val="false"/>
          <w:bCs w:val="false"/>
          <w:i w:val="false"/>
          <w:iCs w:val="false"/>
          <w:color w:val="000000"/>
          <w:sz w:val="20"/>
          <w:szCs w:val="20"/>
          <w:lang w:val="pt-BR"/>
        </w:rPr>
        <w:t xml:space="preserve">for necessário à regularização das falhas ou </w:t>
      </w:r>
      <w:r>
        <w:rPr>
          <w:rFonts w:ascii="Verdana" w:hAnsi="Verdana"/>
          <w:sz w:val="20"/>
          <w:szCs w:val="20"/>
          <w:lang w:val="pt-BR"/>
        </w:rPr>
        <w:t>defeitos observados e encaminhando os apontamentos à autoridade competente para as providências cabíveis.</w:t>
      </w:r>
    </w:p>
    <w:p>
      <w:pPr>
        <w:pStyle w:val="Normal"/>
        <w:spacing w:lineRule="auto" w:line="276" w:before="113" w:after="113"/>
        <w:ind w:hanging="0" w:left="0" w:right="0"/>
        <w:jc w:val="both"/>
        <w:rPr>
          <w:rFonts w:ascii="Verdana" w:hAnsi="Verdana"/>
          <w:sz w:val="20"/>
          <w:szCs w:val="20"/>
          <w:lang w:val="pt-BR"/>
        </w:rPr>
      </w:pPr>
      <w:r>
        <w:rPr>
          <w:rFonts w:ascii="Verdana" w:hAnsi="Verdana"/>
          <w:sz w:val="20"/>
          <w:szCs w:val="20"/>
          <w:lang w:val="pt-BR"/>
        </w:rPr>
      </w:r>
    </w:p>
    <w:p>
      <w:pPr>
        <w:pStyle w:val="Normal"/>
        <w:spacing w:lineRule="auto" w:line="276" w:before="113" w:after="113"/>
        <w:ind w:hanging="0" w:left="0" w:right="0"/>
        <w:jc w:val="both"/>
        <w:rPr>
          <w:lang w:val="pt-BR"/>
        </w:rPr>
      </w:pPr>
      <w:r>
        <w:rPr>
          <w:rFonts w:ascii="Verdana" w:hAnsi="Verdana"/>
          <w:b/>
          <w:bCs/>
          <w:sz w:val="20"/>
          <w:szCs w:val="20"/>
          <w:lang w:val="pt-BR"/>
        </w:rPr>
        <w:t>10. CRITÉRIOS DE PAGAMENTO</w:t>
      </w:r>
    </w:p>
    <w:p>
      <w:pPr>
        <w:pStyle w:val="Normal"/>
        <w:spacing w:lineRule="auto" w:line="276" w:before="113" w:after="113"/>
        <w:ind w:hanging="0" w:left="0" w:right="0"/>
        <w:jc w:val="both"/>
        <w:rPr>
          <w:lang w:val="pt-BR"/>
        </w:rPr>
      </w:pPr>
      <w:r>
        <w:rPr>
          <w:rFonts w:ascii="Verdana" w:hAnsi="Verdana"/>
          <w:b w:val="false"/>
          <w:bCs w:val="false"/>
          <w:sz w:val="20"/>
          <w:szCs w:val="20"/>
          <w:lang w:val="pt-BR" w:eastAsia="en-US"/>
        </w:rPr>
        <w:t xml:space="preserve">10.1. Recebida a Nota Fiscal ou documento de cobrança equivalente, correrá o prazo de </w:t>
      </w:r>
      <w:r>
        <w:rPr>
          <w:rFonts w:eastAsia="Times New Roman" w:cs="Times New Roman" w:ascii="Verdana" w:hAnsi="Verdana"/>
          <w:b w:val="false"/>
          <w:bCs w:val="false"/>
          <w:sz w:val="20"/>
          <w:szCs w:val="20"/>
          <w:lang w:val="pt-BR" w:eastAsia="en-US"/>
        </w:rPr>
        <w:t>(30) trinta</w:t>
      </w:r>
      <w:r>
        <w:rPr>
          <w:rFonts w:ascii="Verdana" w:hAnsi="Verdana"/>
          <w:b w:val="false"/>
          <w:bCs w:val="false"/>
          <w:sz w:val="20"/>
          <w:szCs w:val="20"/>
          <w:lang w:val="pt-BR" w:eastAsia="en-US"/>
        </w:rPr>
        <w:t xml:space="preserve"> dias úteis para fins de liquidação, na forma desta seção, prorrogáveis por igual período.</w:t>
      </w:r>
    </w:p>
    <w:p>
      <w:pPr>
        <w:pStyle w:val="Normal"/>
        <w:spacing w:lineRule="auto" w:line="276" w:before="113" w:after="113"/>
        <w:ind w:hanging="0" w:left="0" w:right="0"/>
        <w:jc w:val="both"/>
        <w:rPr/>
      </w:pPr>
      <w:r>
        <w:rPr>
          <w:rFonts w:ascii="Verdana" w:hAnsi="Verdana"/>
          <w:b w:val="false"/>
          <w:bCs w:val="false"/>
          <w:sz w:val="20"/>
          <w:szCs w:val="20"/>
          <w:lang w:val="pt-BR"/>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37"/>
          <w:sz w:val="20"/>
          <w:u w:val="none"/>
          <w:b w:val="false"/>
          <w:szCs w:val="20"/>
          <w:bCs w:val="false"/>
          <w:rFonts w:ascii="Verdana" w:hAnsi="Verdana"/>
          <w:color w:val="000000"/>
          <w:lang w:val="pt-BR"/>
        </w:rPr>
        <w:instrText xml:space="preserve"> HYPERLINK "http://www.planalto.gov.br/ccivil_03/_ato2019-2022/2021/lei/L14133.htm" \l "art75"</w:instrText>
      </w:r>
      <w:r>
        <w:rPr>
          <w:rStyle w:val="ListLabel37"/>
          <w:sz w:val="20"/>
          <w:u w:val="none"/>
          <w:b w:val="false"/>
          <w:szCs w:val="20"/>
          <w:bCs w:val="false"/>
          <w:rFonts w:ascii="Verdana" w:hAnsi="Verdana"/>
          <w:color w:val="000000"/>
          <w:lang w:val="pt-BR"/>
        </w:rPr>
        <w:fldChar w:fldCharType="separate"/>
      </w:r>
      <w:r>
        <w:rPr>
          <w:rStyle w:val="ListLabel37"/>
          <w:rFonts w:ascii="Verdana" w:hAnsi="Verdana"/>
          <w:b w:val="false"/>
          <w:bCs w:val="false"/>
          <w:color w:val="000000"/>
          <w:sz w:val="20"/>
          <w:szCs w:val="20"/>
          <w:u w:val="none"/>
          <w:lang w:val="pt-BR"/>
        </w:rPr>
        <w:t>inciso II do art. 75 da Lei nº 14.133, de 2021</w:t>
      </w:r>
      <w:r>
        <w:rPr>
          <w:rStyle w:val="ListLabel37"/>
          <w:sz w:val="20"/>
          <w:u w:val="none"/>
          <w:b w:val="false"/>
          <w:szCs w:val="20"/>
          <w:bCs w:val="false"/>
          <w:rFonts w:ascii="Verdana" w:hAnsi="Verdana"/>
          <w:color w:val="000000"/>
          <w:lang w:val="pt-BR"/>
        </w:rPr>
        <w:fldChar w:fldCharType="end"/>
      </w:r>
      <w:r>
        <w:rPr>
          <w:rFonts w:ascii="Verdana" w:hAnsi="Verdana"/>
          <w:b w:val="false"/>
          <w:bCs w:val="false"/>
          <w:color w:val="000000"/>
          <w:sz w:val="20"/>
          <w:szCs w:val="20"/>
          <w:u w:val="none"/>
          <w:lang w:val="pt-BR"/>
        </w:rPr>
        <w:t>.</w:t>
      </w:r>
    </w:p>
    <w:p>
      <w:pPr>
        <w:pStyle w:val="Normal"/>
        <w:spacing w:lineRule="auto" w:line="276" w:before="113" w:after="113"/>
        <w:ind w:hanging="0" w:left="0" w:right="0"/>
        <w:jc w:val="both"/>
        <w:rPr>
          <w:lang w:val="pt-BR"/>
        </w:rPr>
      </w:pPr>
      <w:r>
        <w:rPr>
          <w:rFonts w:ascii="Verdana" w:hAnsi="Verdana"/>
          <w:b w:val="false"/>
          <w:bCs w:val="false"/>
          <w:sz w:val="20"/>
          <w:szCs w:val="20"/>
          <w:lang w:val="pt-BR"/>
        </w:rPr>
        <w:t xml:space="preserve">10.3. Para fins de liquidação, o setor competente deverá verificar se a nota fiscal ou instrumento de cobrança equivalente apresentado expressa os elementos necessários e essenciais do documento, tais como: </w:t>
      </w:r>
    </w:p>
    <w:p>
      <w:pPr>
        <w:pStyle w:val="Normal"/>
        <w:numPr>
          <w:ilvl w:val="0"/>
          <w:numId w:val="2"/>
        </w:numPr>
        <w:tabs>
          <w:tab w:val="clear" w:pos="708"/>
          <w:tab w:val="left" w:pos="563" w:leader="none"/>
        </w:tabs>
        <w:spacing w:lineRule="auto" w:line="276" w:before="113" w:after="113"/>
        <w:jc w:val="both"/>
        <w:rPr>
          <w:lang w:val="pt-BR"/>
        </w:rPr>
      </w:pPr>
      <w:r>
        <w:rPr>
          <w:rFonts w:ascii="Verdana" w:hAnsi="Verdana"/>
          <w:b w:val="false"/>
          <w:bCs w:val="false"/>
          <w:sz w:val="20"/>
          <w:szCs w:val="20"/>
          <w:lang w:val="pt-BR"/>
        </w:rPr>
        <w:t>O prazo de validade;</w:t>
      </w:r>
    </w:p>
    <w:p>
      <w:pPr>
        <w:pStyle w:val="Normal"/>
        <w:numPr>
          <w:ilvl w:val="0"/>
          <w:numId w:val="2"/>
        </w:numPr>
        <w:tabs>
          <w:tab w:val="clear" w:pos="708"/>
          <w:tab w:val="left" w:pos="563" w:leader="none"/>
        </w:tabs>
        <w:spacing w:lineRule="auto" w:line="276" w:before="113" w:after="113"/>
        <w:jc w:val="both"/>
        <w:rPr>
          <w:lang w:val="pt-BR"/>
        </w:rPr>
      </w:pPr>
      <w:r>
        <w:rPr>
          <w:rFonts w:ascii="Verdana" w:hAnsi="Verdana"/>
          <w:b w:val="false"/>
          <w:bCs w:val="false"/>
          <w:sz w:val="20"/>
          <w:szCs w:val="20"/>
          <w:lang w:val="pt-BR"/>
        </w:rPr>
        <w:t xml:space="preserve">A data da emissão; </w:t>
      </w:r>
    </w:p>
    <w:p>
      <w:pPr>
        <w:pStyle w:val="Normal"/>
        <w:numPr>
          <w:ilvl w:val="0"/>
          <w:numId w:val="2"/>
        </w:numPr>
        <w:tabs>
          <w:tab w:val="clear" w:pos="708"/>
          <w:tab w:val="left" w:pos="563" w:leader="none"/>
        </w:tabs>
        <w:spacing w:lineRule="auto" w:line="276" w:before="113" w:after="113"/>
        <w:jc w:val="both"/>
        <w:rPr>
          <w:lang w:val="pt-BR"/>
        </w:rPr>
      </w:pPr>
      <w:r>
        <w:rPr>
          <w:rFonts w:ascii="Verdana" w:hAnsi="Verdana"/>
          <w:b w:val="false"/>
          <w:bCs w:val="false"/>
          <w:sz w:val="20"/>
          <w:szCs w:val="20"/>
          <w:lang w:val="pt-BR"/>
        </w:rPr>
        <w:t xml:space="preserve">Os dados do contrato e do órgão contratante; </w:t>
      </w:r>
    </w:p>
    <w:p>
      <w:pPr>
        <w:pStyle w:val="Normal"/>
        <w:numPr>
          <w:ilvl w:val="0"/>
          <w:numId w:val="2"/>
        </w:numPr>
        <w:tabs>
          <w:tab w:val="clear" w:pos="708"/>
          <w:tab w:val="left" w:pos="563" w:leader="none"/>
        </w:tabs>
        <w:spacing w:lineRule="auto" w:line="276" w:before="113" w:after="113"/>
        <w:jc w:val="both"/>
        <w:rPr>
          <w:lang w:val="pt-BR"/>
        </w:rPr>
      </w:pPr>
      <w:r>
        <w:rPr>
          <w:rFonts w:ascii="Verdana" w:hAnsi="Verdana"/>
          <w:b w:val="false"/>
          <w:bCs w:val="false"/>
          <w:sz w:val="20"/>
          <w:szCs w:val="20"/>
          <w:lang w:val="pt-BR"/>
        </w:rPr>
        <w:t xml:space="preserve">O período respectivo de execução do contrato; </w:t>
      </w:r>
    </w:p>
    <w:p>
      <w:pPr>
        <w:pStyle w:val="Normal"/>
        <w:numPr>
          <w:ilvl w:val="0"/>
          <w:numId w:val="2"/>
        </w:numPr>
        <w:tabs>
          <w:tab w:val="clear" w:pos="708"/>
          <w:tab w:val="left" w:pos="563" w:leader="none"/>
        </w:tabs>
        <w:spacing w:lineRule="auto" w:line="276" w:before="113" w:after="113"/>
        <w:jc w:val="both"/>
        <w:rPr>
          <w:lang w:val="pt-BR"/>
        </w:rPr>
      </w:pPr>
      <w:r>
        <w:rPr>
          <w:rFonts w:ascii="Verdana" w:hAnsi="Verdana"/>
          <w:b w:val="false"/>
          <w:bCs w:val="false"/>
          <w:sz w:val="20"/>
          <w:szCs w:val="20"/>
          <w:lang w:val="pt-BR"/>
        </w:rPr>
        <w:t xml:space="preserve">O valor a pagar; e </w:t>
      </w:r>
    </w:p>
    <w:p>
      <w:pPr>
        <w:pStyle w:val="Normal"/>
        <w:numPr>
          <w:ilvl w:val="0"/>
          <w:numId w:val="2"/>
        </w:numPr>
        <w:tabs>
          <w:tab w:val="clear" w:pos="708"/>
          <w:tab w:val="left" w:pos="563" w:leader="none"/>
        </w:tabs>
        <w:spacing w:lineRule="auto" w:line="276" w:before="113" w:after="113"/>
        <w:jc w:val="both"/>
        <w:rPr>
          <w:lang w:val="pt-BR"/>
        </w:rPr>
      </w:pPr>
      <w:r>
        <w:rPr>
          <w:rFonts w:ascii="Verdana" w:hAnsi="Verdana"/>
          <w:b w:val="false"/>
          <w:bCs w:val="false"/>
          <w:sz w:val="20"/>
          <w:szCs w:val="20"/>
          <w:lang w:val="pt-BR"/>
        </w:rPr>
        <w:t>Eventual destaque do valor de retenções tributárias cabíveis.</w:t>
      </w:r>
    </w:p>
    <w:p>
      <w:pPr>
        <w:pStyle w:val="Normal"/>
        <w:tabs>
          <w:tab w:val="clear" w:pos="708"/>
          <w:tab w:val="left" w:pos="625" w:leader="none"/>
        </w:tabs>
        <w:spacing w:lineRule="auto" w:line="276" w:before="113" w:after="113"/>
        <w:ind w:hanging="0" w:left="0" w:right="0"/>
        <w:jc w:val="both"/>
        <w:rPr>
          <w:lang w:val="pt-BR"/>
        </w:rPr>
      </w:pPr>
      <w:r>
        <w:rPr>
          <w:rFonts w:ascii="Verdana" w:hAnsi="Verdana"/>
          <w:b w:val="false"/>
          <w:bCs w:val="false"/>
          <w:sz w:val="20"/>
          <w:szCs w:val="20"/>
          <w:lang w:val="pt-BR"/>
        </w:rPr>
        <w:t>10.4. Haven</w:t>
      </w:r>
      <w:r>
        <w:rPr>
          <w:rFonts w:ascii="Verdana" w:hAnsi="Verdana"/>
          <w:sz w:val="20"/>
          <w:szCs w:val="20"/>
          <w:lang w:val="pt-BR"/>
        </w:rPr>
        <w:t>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before="113" w:after="113"/>
        <w:ind w:hanging="0" w:left="0" w:right="0"/>
        <w:jc w:val="both"/>
        <w:rPr/>
      </w:pPr>
      <w:r>
        <w:rPr>
          <w:rFonts w:ascii="Verdana" w:hAnsi="Verdana"/>
          <w:b w:val="false"/>
          <w:bCs w:val="false"/>
          <w:sz w:val="20"/>
          <w:szCs w:val="20"/>
          <w:lang w:val="pt-BR"/>
        </w:rPr>
        <w:t>10.5. A</w:t>
      </w:r>
      <w:r>
        <w:rPr>
          <w:rFonts w:ascii="Verdana" w:hAnsi="Verdana"/>
          <w:b w:val="false"/>
          <w:bCs w:val="false"/>
          <w:sz w:val="20"/>
          <w:szCs w:val="20"/>
          <w:lang w:val="pt-BR" w:eastAsia="en-US"/>
        </w:rPr>
        <w:t xml:space="preserve"> nota fisc</w:t>
      </w:r>
      <w:r>
        <w:rPr>
          <w:rFonts w:ascii="Verdana" w:hAnsi="Verdana"/>
          <w:sz w:val="20"/>
          <w:szCs w:val="20"/>
          <w:lang w:val="pt-BR" w:eastAsia="en-US"/>
        </w:rPr>
        <w:t>al ou instrumento de cobrança equivalente deverá ser obrigatoriamente acompanhado da comprovação da regularidade fiscal</w:t>
      </w:r>
      <w:r>
        <w:rPr>
          <w:rStyle w:val="InternetLink"/>
          <w:rFonts w:ascii="Verdana" w:hAnsi="Verdana"/>
          <w:sz w:val="20"/>
          <w:szCs w:val="20"/>
          <w:lang w:val="pt-BR" w:eastAsia="en-US"/>
        </w:rPr>
        <w:t>.</w:t>
      </w:r>
    </w:p>
    <w:p>
      <w:pPr>
        <w:pStyle w:val="Normal"/>
        <w:spacing w:lineRule="auto" w:line="276" w:before="113" w:after="113"/>
        <w:ind w:hanging="0" w:left="0" w:right="0"/>
        <w:jc w:val="both"/>
        <w:rPr>
          <w:lang w:val="pt-BR"/>
        </w:rPr>
      </w:pPr>
      <w:r>
        <w:rPr>
          <w:rFonts w:ascii="Verdana" w:hAnsi="Verdana"/>
          <w:b w:val="false"/>
          <w:bCs w:val="false"/>
          <w:i w:val="false"/>
          <w:iCs w:val="false"/>
          <w:sz w:val="20"/>
          <w:szCs w:val="20"/>
          <w:lang w:val="pt-BR"/>
        </w:rPr>
        <w:t>10.6. O pagamento será efetuado no prazo de até 30 (trinta) dias úteis contados da finalização da liquidação da despesa.</w:t>
      </w:r>
    </w:p>
    <w:p>
      <w:pPr>
        <w:pStyle w:val="Normal"/>
        <w:spacing w:lineRule="auto" w:line="276" w:before="113" w:after="113"/>
        <w:ind w:hanging="0" w:left="0" w:right="0"/>
        <w:jc w:val="both"/>
        <w:rPr>
          <w:lang w:val="pt-BR"/>
        </w:rPr>
      </w:pPr>
      <w:r>
        <w:rPr>
          <w:rFonts w:ascii="Verdana" w:hAnsi="Verdana"/>
          <w:b w:val="false"/>
          <w:bCs w:val="false"/>
          <w:i w:val="false"/>
          <w:iCs w:val="false"/>
          <w:sz w:val="20"/>
          <w:szCs w:val="20"/>
          <w:lang w:val="pt-BR"/>
        </w:rPr>
        <w:t>10.7. O pagamento será realizado por meio de ordem bancária, para crédito em banco, agência e conta corrente indicados pelo contratado.</w:t>
      </w:r>
    </w:p>
    <w:p>
      <w:pPr>
        <w:pStyle w:val="Normal"/>
        <w:spacing w:lineRule="auto" w:line="276" w:before="113" w:after="113"/>
        <w:ind w:hanging="0" w:left="0" w:right="0"/>
        <w:jc w:val="both"/>
        <w:rPr>
          <w:lang w:val="pt-BR"/>
        </w:rPr>
      </w:pPr>
      <w:r>
        <w:rPr>
          <w:rFonts w:ascii="Verdana" w:hAnsi="Verdana"/>
          <w:b w:val="false"/>
          <w:bCs w:val="false"/>
          <w:i w:val="false"/>
          <w:iCs w:val="false"/>
          <w:sz w:val="20"/>
          <w:szCs w:val="20"/>
          <w:lang w:val="pt-BR"/>
        </w:rPr>
        <w:t>10.8. Será considerada data do pagamento o dia em que constar como emitida a ordem bancária para pagamento.</w:t>
      </w:r>
    </w:p>
    <w:p>
      <w:pPr>
        <w:pStyle w:val="Normal"/>
        <w:spacing w:lineRule="auto" w:line="276" w:before="113" w:after="113"/>
        <w:ind w:hanging="0" w:left="0" w:right="0"/>
        <w:jc w:val="both"/>
        <w:rPr>
          <w:lang w:val="pt-BR"/>
        </w:rPr>
      </w:pPr>
      <w:r>
        <w:rPr>
          <w:rFonts w:ascii="Verdana" w:hAnsi="Verdana"/>
          <w:b w:val="false"/>
          <w:bCs w:val="false"/>
          <w:i w:val="false"/>
          <w:iCs w:val="false"/>
          <w:sz w:val="20"/>
          <w:szCs w:val="20"/>
          <w:lang w:val="pt-BR"/>
        </w:rPr>
        <w:t>10.9. Quando do pagamento, será efetuada a retenção tributária prevista na legislação aplicável.</w:t>
      </w:r>
    </w:p>
    <w:p>
      <w:pPr>
        <w:pStyle w:val="Normal"/>
        <w:spacing w:lineRule="auto" w:line="276" w:before="113" w:after="113"/>
        <w:ind w:hanging="0" w:left="0" w:right="0"/>
        <w:jc w:val="both"/>
        <w:rPr/>
      </w:pPr>
      <w:r>
        <w:rPr>
          <w:rFonts w:ascii="Verdana" w:hAnsi="Verdana"/>
          <w:b w:val="false"/>
          <w:bCs w:val="false"/>
          <w:i w:val="false"/>
          <w:iCs w:val="false"/>
          <w:sz w:val="20"/>
          <w:szCs w:val="20"/>
          <w:lang w:val="pt-BR" w:eastAsia="en-US"/>
        </w:rPr>
        <w:t xml:space="preserve">10.10. O contratado regularmente optante pelo Simples Nacional, nos termos da </w:t>
      </w:r>
      <w:hyperlink r:id="rId2">
        <w:r>
          <w:rPr>
            <w:rStyle w:val="ListLabel38"/>
            <w:rFonts w:ascii="Verdana" w:hAnsi="Verdana"/>
            <w:b w:val="false"/>
            <w:bCs w:val="false"/>
            <w:i w:val="false"/>
            <w:iCs w:val="false"/>
            <w:sz w:val="20"/>
            <w:szCs w:val="20"/>
            <w:u w:val="none"/>
            <w:lang w:val="pt-BR" w:eastAsia="en-US"/>
          </w:rPr>
          <w:t>Lei Complementar nº 123, de 2006</w:t>
        </w:r>
      </w:hyperlink>
      <w:r>
        <w:rPr>
          <w:rFonts w:ascii="Verdana" w:hAnsi="Verdana"/>
          <w:b w:val="false"/>
          <w:bCs w:val="false"/>
          <w:i w:val="false"/>
          <w:iCs w:val="false"/>
          <w:sz w:val="20"/>
          <w:szCs w:val="20"/>
          <w:lang w:val="pt-BR"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before="113" w:after="113"/>
        <w:ind w:hanging="0" w:left="0" w:right="0"/>
        <w:jc w:val="both"/>
        <w:rPr>
          <w:lang w:val="pt-BR"/>
        </w:rPr>
      </w:pPr>
      <w:r>
        <w:rPr>
          <w:rFonts w:ascii="Verdana" w:hAnsi="Verdana"/>
          <w:b w:val="false"/>
          <w:bCs w:val="false"/>
          <w:i w:val="false"/>
          <w:iCs w:val="false"/>
          <w:sz w:val="20"/>
          <w:szCs w:val="20"/>
          <w:lang w:val="pt-BR"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76" w:before="113" w:after="113"/>
        <w:ind w:hanging="0" w:left="0" w:right="0"/>
        <w:jc w:val="both"/>
        <w:rPr>
          <w:lang w:val="pt-BR"/>
        </w:rPr>
      </w:pPr>
      <w:r>
        <w:rPr>
          <w:rFonts w:ascii="Verdana" w:hAnsi="Verdana"/>
          <w:b w:val="false"/>
          <w:bCs w:val="false"/>
          <w:i w:val="false"/>
          <w:iCs w:val="false"/>
          <w:color w:val="000000"/>
          <w:sz w:val="20"/>
          <w:szCs w:val="20"/>
          <w:lang w:val="pt-BR"/>
        </w:rPr>
        <w:t>10.11.</w:t>
      </w:r>
      <w:r>
        <w:rPr>
          <w:rFonts w:ascii="Verdana" w:hAnsi="Verdana"/>
          <w:b/>
          <w:bCs/>
          <w:color w:val="000000"/>
          <w:sz w:val="20"/>
          <w:szCs w:val="20"/>
          <w:lang w:val="pt-BR"/>
        </w:rPr>
        <w:t xml:space="preserve"> </w:t>
      </w:r>
      <w:r>
        <w:rPr>
          <w:rFonts w:ascii="Verdana" w:hAnsi="Verdana"/>
          <w:sz w:val="20"/>
          <w:szCs w:val="20"/>
          <w:lang w:val="pt-BR"/>
        </w:rPr>
        <w:t>Após o prazo acima referenciado, será paga multa financeira nos seguintes termos:</w:t>
      </w:r>
    </w:p>
    <w:p>
      <w:pPr>
        <w:pStyle w:val="PargrafodaLista"/>
        <w:tabs>
          <w:tab w:val="clear" w:pos="708"/>
          <w:tab w:val="left" w:pos="518" w:leader="none"/>
        </w:tabs>
        <w:spacing w:lineRule="auto" w:line="276" w:before="113" w:after="113"/>
        <w:ind w:hanging="0" w:left="0" w:right="0"/>
        <w:contextualSpacing w:val="false"/>
        <w:jc w:val="center"/>
        <w:rPr>
          <w:lang w:val="pt-BR"/>
        </w:rPr>
      </w:pPr>
      <w:r>
        <w:rPr>
          <w:rFonts w:cs="Verdana" w:ascii="Verdana" w:hAnsi="Verdana"/>
          <w:sz w:val="20"/>
          <w:szCs w:val="20"/>
          <w:lang w:val="pt-BR"/>
        </w:rPr>
        <w:t xml:space="preserve">VM = VF </w:t>
      </w:r>
      <w:r>
        <w:rPr>
          <w:rFonts w:cs="Verdana" w:ascii="Verdana" w:hAnsi="Verdana"/>
          <w:sz w:val="20"/>
          <w:szCs w:val="20"/>
          <w:vertAlign w:val="subscript"/>
          <w:lang w:val="pt-BR"/>
        </w:rPr>
        <w:t>*</w:t>
      </w:r>
      <w:r>
        <w:rPr>
          <w:rFonts w:cs="Verdana" w:ascii="Verdana" w:hAnsi="Verdana"/>
          <w:sz w:val="20"/>
          <w:szCs w:val="20"/>
          <w:lang w:val="pt-BR"/>
        </w:rPr>
        <w:t xml:space="preserve"> </w:t>
      </w:r>
      <w:r>
        <w:rPr>
          <w:rFonts w:cs="Verdana" w:ascii="Verdana" w:hAnsi="Verdana"/>
          <w:sz w:val="20"/>
          <w:szCs w:val="20"/>
          <w:u w:val="single"/>
          <w:lang w:val="pt-BR"/>
        </w:rPr>
        <w:t>0,33</w:t>
      </w:r>
      <w:r>
        <w:rPr>
          <w:rFonts w:cs="Verdana" w:ascii="Verdana" w:hAnsi="Verdana"/>
          <w:sz w:val="20"/>
          <w:szCs w:val="20"/>
          <w:lang w:val="pt-BR"/>
        </w:rPr>
        <w:t xml:space="preserve"> </w:t>
      </w:r>
      <w:r>
        <w:rPr>
          <w:rFonts w:cs="Verdana" w:ascii="Verdana" w:hAnsi="Verdana"/>
          <w:sz w:val="20"/>
          <w:szCs w:val="20"/>
          <w:vertAlign w:val="subscript"/>
          <w:lang w:val="pt-BR"/>
        </w:rPr>
        <w:t>*</w:t>
      </w:r>
      <w:r>
        <w:rPr>
          <w:rFonts w:cs="Verdana" w:ascii="Verdana" w:hAnsi="Verdana"/>
          <w:sz w:val="20"/>
          <w:szCs w:val="20"/>
          <w:lang w:val="pt-BR"/>
        </w:rPr>
        <w:t xml:space="preserve"> ND</w:t>
      </w:r>
    </w:p>
    <w:p>
      <w:pPr>
        <w:pStyle w:val="PargrafodaLista"/>
        <w:tabs>
          <w:tab w:val="clear" w:pos="708"/>
          <w:tab w:val="left" w:pos="518" w:leader="none"/>
        </w:tabs>
        <w:spacing w:lineRule="auto" w:line="276" w:before="113" w:after="113"/>
        <w:ind w:hanging="0" w:left="0" w:right="0"/>
        <w:contextualSpacing w:val="false"/>
        <w:jc w:val="center"/>
        <w:rPr>
          <w:lang w:val="pt-BR"/>
        </w:rPr>
      </w:pPr>
      <w:r>
        <w:rPr>
          <w:rFonts w:eastAsia="Verdana" w:cs="Verdana" w:ascii="Verdana" w:hAnsi="Verdana"/>
          <w:sz w:val="20"/>
          <w:szCs w:val="20"/>
          <w:lang w:val="pt-BR"/>
        </w:rPr>
        <w:t xml:space="preserve">        </w:t>
      </w:r>
      <w:r>
        <w:rPr>
          <w:rFonts w:cs="Verdana" w:ascii="Verdana" w:hAnsi="Verdana"/>
          <w:sz w:val="20"/>
          <w:szCs w:val="20"/>
          <w:lang w:val="pt-BR"/>
        </w:rPr>
        <w:t>100</w:t>
      </w:r>
    </w:p>
    <w:p>
      <w:pPr>
        <w:pStyle w:val="Normal"/>
        <w:suppressAutoHyphens w:val="false"/>
        <w:spacing w:lineRule="auto" w:line="276" w:before="113" w:after="113"/>
        <w:ind w:left="0" w:right="0"/>
        <w:jc w:val="both"/>
        <w:rPr>
          <w:lang w:val="pt-BR"/>
        </w:rPr>
      </w:pPr>
      <w:r>
        <w:rPr>
          <w:rFonts w:cs="Arial" w:ascii="Verdana" w:hAnsi="Verdana"/>
          <w:color w:val="000000"/>
          <w:sz w:val="20"/>
          <w:szCs w:val="20"/>
          <w:lang w:val="pt-BR"/>
        </w:rPr>
        <w:t xml:space="preserve">Onde: </w:t>
      </w:r>
    </w:p>
    <w:p>
      <w:pPr>
        <w:pStyle w:val="Normal"/>
        <w:suppressAutoHyphens w:val="false"/>
        <w:spacing w:lineRule="auto" w:line="276" w:before="113" w:after="113"/>
        <w:ind w:left="0" w:right="0"/>
        <w:jc w:val="both"/>
        <w:rPr>
          <w:lang w:val="pt-BR"/>
        </w:rPr>
      </w:pPr>
      <w:r>
        <w:rPr>
          <w:rFonts w:cs="Arial" w:ascii="Verdana" w:hAnsi="Verdana"/>
          <w:color w:val="000000"/>
          <w:sz w:val="20"/>
          <w:szCs w:val="20"/>
          <w:lang w:val="pt-BR"/>
        </w:rPr>
        <w:t xml:space="preserve">VM = Valor da Multa Financeira; </w:t>
      </w:r>
    </w:p>
    <w:p>
      <w:pPr>
        <w:pStyle w:val="Normal"/>
        <w:suppressAutoHyphens w:val="false"/>
        <w:spacing w:lineRule="auto" w:line="276" w:before="113" w:after="113"/>
        <w:ind w:left="0" w:right="0"/>
        <w:jc w:val="both"/>
        <w:rPr>
          <w:lang w:val="pt-BR"/>
        </w:rPr>
      </w:pPr>
      <w:r>
        <w:rPr>
          <w:rFonts w:cs="Arial" w:ascii="Verdana" w:hAnsi="Verdana"/>
          <w:color w:val="000000"/>
          <w:sz w:val="20"/>
          <w:szCs w:val="20"/>
          <w:lang w:val="pt-BR"/>
        </w:rPr>
        <w:t xml:space="preserve">VF = Valor da Nota Fiscal; </w:t>
      </w:r>
    </w:p>
    <w:p>
      <w:pPr>
        <w:pStyle w:val="PargrafodaLista"/>
        <w:tabs>
          <w:tab w:val="clear" w:pos="708"/>
          <w:tab w:val="left" w:pos="518" w:leader="none"/>
        </w:tabs>
        <w:spacing w:lineRule="auto" w:line="276" w:before="113" w:after="113"/>
        <w:ind w:hanging="0" w:left="0" w:right="0"/>
        <w:contextualSpacing w:val="false"/>
        <w:jc w:val="both"/>
        <w:rPr>
          <w:lang w:val="pt-BR"/>
        </w:rPr>
      </w:pPr>
      <w:r>
        <w:rPr>
          <w:rFonts w:eastAsia="Times New Roman" w:cs="Arial" w:ascii="Verdana" w:hAnsi="Verdana"/>
          <w:color w:val="000000"/>
          <w:sz w:val="20"/>
          <w:szCs w:val="20"/>
          <w:lang w:val="pt-BR"/>
        </w:rPr>
        <w:t>ND = Número de dias em atraso.</w:t>
      </w:r>
    </w:p>
    <w:p>
      <w:pPr>
        <w:pStyle w:val="PargrafodaLista"/>
        <w:tabs>
          <w:tab w:val="clear" w:pos="708"/>
          <w:tab w:val="left" w:pos="518" w:leader="none"/>
        </w:tabs>
        <w:spacing w:lineRule="auto" w:line="276" w:before="113" w:after="113"/>
        <w:ind w:hanging="0" w:left="0" w:right="0"/>
        <w:contextualSpacing w:val="false"/>
        <w:jc w:val="both"/>
        <w:rPr>
          <w:lang w:val="pt-BR"/>
        </w:rPr>
      </w:pPr>
      <w:r>
        <w:rPr>
          <w:rFonts w:eastAsia="Times New Roman" w:cs="Arial" w:ascii="Verdana" w:hAnsi="Verdana"/>
          <w:b w:val="false"/>
          <w:bCs w:val="false"/>
          <w:color w:val="000000"/>
          <w:sz w:val="20"/>
          <w:szCs w:val="20"/>
          <w:lang w:val="pt-BR"/>
        </w:rPr>
        <w:t xml:space="preserve">10.12.. </w:t>
      </w:r>
      <w:r>
        <w:rPr>
          <w:rFonts w:cs="Arial" w:ascii="Verdana" w:hAnsi="Verdana"/>
          <w:b w:val="false"/>
          <w:bCs w:val="false"/>
          <w:color w:val="000000"/>
          <w:sz w:val="20"/>
          <w:szCs w:val="20"/>
          <w:lang w:val="pt-BR"/>
        </w:rPr>
        <w:t>A NOTA FISCAL ELETRÔNICA deverá conter o mesmo CNPJ e razão social, apresentados quando na proposta, assim como, o número da contratação, o (s) objeto (s), os valores unitários e totais.</w:t>
      </w:r>
    </w:p>
    <w:p>
      <w:pPr>
        <w:pStyle w:val="PargrafodaLista"/>
        <w:tabs>
          <w:tab w:val="clear" w:pos="708"/>
          <w:tab w:val="left" w:pos="518" w:leader="none"/>
        </w:tabs>
        <w:spacing w:lineRule="auto" w:line="276" w:before="113" w:after="113"/>
        <w:ind w:hanging="0" w:left="0" w:right="0"/>
        <w:contextualSpacing w:val="false"/>
        <w:jc w:val="both"/>
        <w:rPr>
          <w:lang w:val="pt-BR"/>
        </w:rPr>
      </w:pPr>
      <w:r>
        <w:rPr>
          <w:rFonts w:eastAsia="Times New Roman" w:cs="Arial" w:ascii="Verdana" w:hAnsi="Verdana"/>
          <w:b w:val="false"/>
          <w:bCs w:val="false"/>
          <w:color w:val="000000"/>
          <w:sz w:val="20"/>
          <w:szCs w:val="20"/>
          <w:lang w:val="pt-BR"/>
        </w:rPr>
        <w:t>10.13.</w:t>
      </w:r>
      <w:r>
        <w:rPr>
          <w:rFonts w:cs="Arial" w:ascii="Verdana" w:hAnsi="Verdana"/>
          <w:b w:val="false"/>
          <w:bCs w:val="false"/>
          <w:color w:val="000000"/>
          <w:sz w:val="20"/>
          <w:szCs w:val="20"/>
          <w:lang w:val="pt-BR"/>
        </w:rPr>
        <w:t xml:space="preserve"> Qualquer alteração feita no contrato social, ato constitutivo ou estatuto deverá ser co</w:t>
      </w:r>
      <w:r>
        <w:rPr>
          <w:rFonts w:cs="Arial" w:ascii="Verdana" w:hAnsi="Verdana"/>
          <w:color w:val="000000"/>
          <w:sz w:val="20"/>
          <w:szCs w:val="20"/>
          <w:lang w:val="pt-BR"/>
        </w:rPr>
        <w:t>municado ao CONTRATANTE, mediante documentação própria, para apreciação da autoridade competente.</w:t>
      </w:r>
    </w:p>
    <w:p>
      <w:pPr>
        <w:pStyle w:val="PargrafodaLista"/>
        <w:tabs>
          <w:tab w:val="clear" w:pos="708"/>
          <w:tab w:val="left" w:pos="518" w:leader="none"/>
        </w:tabs>
        <w:spacing w:lineRule="auto" w:line="276" w:before="113" w:after="113"/>
        <w:ind w:hanging="0" w:left="0" w:right="0"/>
        <w:contextualSpacing w:val="false"/>
        <w:jc w:val="both"/>
        <w:rPr>
          <w:lang w:val="pt-BR"/>
        </w:rPr>
      </w:pPr>
      <w:r>
        <w:rPr>
          <w:rFonts w:eastAsia="Times New Roman" w:cs="Arial" w:ascii="Verdana" w:hAnsi="Verdana"/>
          <w:b w:val="false"/>
          <w:bCs w:val="false"/>
          <w:color w:val="000000"/>
          <w:sz w:val="20"/>
          <w:szCs w:val="20"/>
          <w:lang w:val="pt-BR"/>
        </w:rPr>
        <w:t xml:space="preserve">10.14. </w:t>
      </w:r>
      <w:r>
        <w:rPr>
          <w:rFonts w:cs="Arial" w:ascii="Verdana" w:hAnsi="Verdana"/>
          <w:b w:val="false"/>
          <w:bCs w:val="false"/>
          <w:color w:val="000000"/>
          <w:sz w:val="20"/>
          <w:szCs w:val="20"/>
          <w:lang w:val="pt-BR"/>
        </w:rPr>
        <w:t>O CONTRATANTE poderá deduzir do pagamento importâncias que a qualquer título lhe forem devidos pela empresa CONTRATADA, em decorrência de descumprimento de suas obrigações.</w:t>
      </w:r>
    </w:p>
    <w:p>
      <w:pPr>
        <w:pStyle w:val="Default"/>
        <w:spacing w:lineRule="auto" w:line="276" w:before="113" w:after="113"/>
        <w:ind w:hanging="0" w:left="0" w:right="0"/>
        <w:jc w:val="both"/>
        <w:rPr>
          <w:lang w:val="pt-BR"/>
        </w:rPr>
      </w:pPr>
      <w:r>
        <w:rPr>
          <w:rFonts w:cs="Arial" w:ascii="Verdana" w:hAnsi="Verdana"/>
          <w:b w:val="false"/>
          <w:bCs w:val="false"/>
          <w:color w:val="000000"/>
          <w:sz w:val="20"/>
          <w:szCs w:val="20"/>
          <w:lang w:val="pt-BR" w:eastAsia="en-US"/>
        </w:rPr>
        <w:t xml:space="preserve">10.15. Para a efetivação do pagamento, a CONTRATADA deverá manter as mesmas </w:t>
      </w:r>
      <w:r>
        <w:rPr>
          <w:rFonts w:cs="Arial" w:ascii="Verdana" w:hAnsi="Verdana"/>
          <w:b w:val="false"/>
          <w:bCs w:val="false"/>
          <w:color w:val="000000"/>
          <w:sz w:val="20"/>
          <w:szCs w:val="20"/>
          <w:lang w:val="pt-BR" w:eastAsia="pt-BR"/>
        </w:rPr>
        <w:t>condições relativas à proposta de preço e a habilitação;</w:t>
      </w:r>
    </w:p>
    <w:p>
      <w:pPr>
        <w:pStyle w:val="Default"/>
        <w:spacing w:lineRule="auto" w:line="276" w:before="113" w:after="113"/>
        <w:ind w:hanging="0" w:left="0" w:right="0"/>
        <w:jc w:val="both"/>
        <w:rPr>
          <w:rFonts w:ascii="Verdana" w:hAnsi="Verdana" w:cs="Arial"/>
          <w:b/>
          <w:sz w:val="20"/>
          <w:szCs w:val="20"/>
          <w:u w:val="single"/>
          <w:lang w:val="pt-BR"/>
        </w:rPr>
      </w:pPr>
      <w:r>
        <w:rPr>
          <w:rFonts w:cs="Arial" w:ascii="Verdana" w:hAnsi="Verdana"/>
          <w:b/>
          <w:sz w:val="20"/>
          <w:szCs w:val="20"/>
          <w:u w:val="single"/>
          <w:lang w:val="pt-BR"/>
        </w:rPr>
      </w:r>
    </w:p>
    <w:p>
      <w:pPr>
        <w:pStyle w:val="Normal"/>
        <w:spacing w:lineRule="auto" w:line="276" w:before="113" w:after="113"/>
        <w:ind w:hanging="0" w:left="0" w:right="0"/>
        <w:jc w:val="both"/>
        <w:rPr>
          <w:lang w:val="pt-BR"/>
        </w:rPr>
      </w:pPr>
      <w:r>
        <w:rPr>
          <w:rFonts w:eastAsia="Times New Roman" w:cs="Times New Roman" w:ascii="Verdana" w:hAnsi="Verdana"/>
          <w:b/>
          <w:bCs/>
          <w:iCs/>
          <w:color w:val="000000"/>
          <w:sz w:val="20"/>
          <w:szCs w:val="20"/>
          <w:lang w:val="pt-BR"/>
        </w:rPr>
        <w:t>11</w:t>
      </w:r>
      <w:r>
        <w:rPr>
          <w:rFonts w:ascii="Verdana" w:hAnsi="Verdana"/>
          <w:b/>
          <w:bCs/>
          <w:iCs/>
          <w:sz w:val="20"/>
          <w:szCs w:val="20"/>
          <w:lang w:val="pt-BR"/>
        </w:rPr>
        <w:t>. DAS SANÇÕES</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.1. Comete infração administrativa o fornecedor/prestador de serviço que cometer quaisquer das infrações previstas no art. 155 da Lei nº 14.133, de 2021, quais sejam:</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.1.1. Dar causa à inexecução parcial do contrato/ata de registro de preços.</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.1.2. Dar causa à inexecução parcial que cause grave dano à Administração, ao funcionamento dos serviços públicos ou ao interesse coletivo.</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.1.3. Dar causa à inexecução total;</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.1.4. Deixar de entregar a documentação exigida para o certame.</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.1.5. Não manter a proposta, salvo em decorrência de fato superveniente devidamente justificado.</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 xml:space="preserve">.1.6. Não celebrar o contrato/ata de registro de preços ou não entregar a documentação exigida para a contratação, quando convocado dentro do prazo de validade de sua proposta. </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.1.7. Ensejar o retardamento da execução ou da entrega do objeto sem motivo justificado,</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.1.8. Apresentar declaração ou documentação falsa exigida para o certame ou prestar declaração falsa durante a dispensa eletrônica ou a execução do objeto.</w:t>
      </w:r>
    </w:p>
    <w:p>
      <w:pPr>
        <w:pStyle w:val="Normal"/>
        <w:spacing w:lineRule="auto" w:line="276" w:before="113" w:after="113"/>
        <w:ind w:hanging="0" w:left="0" w:right="0"/>
        <w:jc w:val="both"/>
        <w:rPr>
          <w:lang w:val="pt-BR"/>
        </w:rPr>
      </w:pPr>
      <w:r>
        <w:rPr>
          <w:rFonts w:ascii="Verdana" w:hAnsi="Verdana"/>
          <w:b w:val="false"/>
          <w:bCs w:val="false"/>
          <w:iCs/>
          <w:sz w:val="20"/>
          <w:szCs w:val="20"/>
          <w:lang w:val="pt-BR"/>
        </w:rPr>
        <w:t>11.1.9. Fraudar a dispensa eletrônica ou praticar ato fraudulento na execução do objeto.</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.1.10. Comportar-se de modo inidôneo ou cometer fraude de qualquer natureza.</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.1.11. Praticar atos ilícitos com vistas a frustrar os objetivos deste certame.</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.1.12. Praticar ato lesivo previsto no art. 5º da Lei nº 12.846, de 1º de agosto de 2013.</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11.1.13.</w:t>
      </w:r>
      <w:r>
        <w:rPr>
          <w:rFonts w:ascii="Verdana" w:hAnsi="Verdana"/>
          <w:b w:val="false"/>
          <w:bCs w:val="false"/>
          <w:iCs/>
          <w:sz w:val="20"/>
          <w:szCs w:val="20"/>
          <w:lang w:val="pt-BR"/>
        </w:rPr>
        <w:t xml:space="preserve"> O fornecedor que cometer qualquer das infrações discriminadas nos subitens anteriores fica</w:t>
      </w:r>
      <w:r>
        <w:rPr>
          <w:rFonts w:ascii="Verdana" w:hAnsi="Verdana"/>
          <w:iCs/>
          <w:sz w:val="20"/>
          <w:szCs w:val="20"/>
          <w:lang w:val="pt-BR"/>
        </w:rPr>
        <w:t>rá sujeito, sem prejuízo da responsabilidade civil e criminal, às seguintes sanções:</w:t>
      </w:r>
    </w:p>
    <w:p>
      <w:pPr>
        <w:pStyle w:val="Normal"/>
        <w:spacing w:lineRule="auto" w:line="276" w:before="113" w:after="113"/>
        <w:ind w:hanging="0" w:left="0" w:right="0"/>
        <w:jc w:val="both"/>
        <w:rPr>
          <w:lang w:val="pt-BR"/>
        </w:rPr>
      </w:pPr>
      <w:r>
        <w:rPr>
          <w:rFonts w:ascii="Verdana" w:hAnsi="Verdana"/>
          <w:iCs/>
          <w:sz w:val="20"/>
          <w:szCs w:val="20"/>
          <w:lang w:val="pt-BR"/>
        </w:rPr>
        <w:tab/>
        <w:t>a) Advertência pela falta do subitem 11.1.1 deste Termo de Referência, quando não se justificar a imposição de penalidade mais grave.</w:t>
      </w:r>
    </w:p>
    <w:p>
      <w:pPr>
        <w:pStyle w:val="Normal"/>
        <w:spacing w:lineRule="auto" w:line="276" w:before="113" w:after="113"/>
        <w:ind w:hanging="0" w:left="0" w:right="0"/>
        <w:jc w:val="both"/>
        <w:rPr>
          <w:lang w:val="pt-BR"/>
        </w:rPr>
      </w:pPr>
      <w:r>
        <w:rPr>
          <w:rFonts w:ascii="Verdana" w:hAnsi="Verdana"/>
          <w:iCs/>
          <w:sz w:val="20"/>
          <w:szCs w:val="20"/>
          <w:lang w:val="pt-BR"/>
        </w:rPr>
        <w:tab/>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iCs/>
          <w:color w:val="000000"/>
          <w:sz w:val="20"/>
          <w:szCs w:val="20"/>
          <w:lang w:val="pt-BR"/>
        </w:rPr>
        <w:t>11</w:t>
      </w:r>
      <w:r>
        <w:rPr>
          <w:rFonts w:ascii="Verdana" w:hAnsi="Verdana"/>
          <w:iCs/>
          <w:sz w:val="20"/>
          <w:szCs w:val="20"/>
          <w:lang w:val="pt-BR"/>
        </w:rPr>
        <w:t xml:space="preserve">.1.7 e 20% (vinte por cento), se cometidas infrações previstas nos itens 11.1.8 a 11.1.12; </w:t>
      </w:r>
    </w:p>
    <w:p>
      <w:pPr>
        <w:pStyle w:val="Normal"/>
        <w:spacing w:lineRule="auto" w:line="276" w:before="113" w:after="113"/>
        <w:ind w:hanging="0" w:left="0" w:right="0"/>
        <w:jc w:val="both"/>
        <w:rPr>
          <w:lang w:val="pt-BR"/>
        </w:rPr>
      </w:pPr>
      <w:r>
        <w:rPr>
          <w:rFonts w:ascii="Verdana" w:hAnsi="Verdana"/>
          <w:iCs/>
          <w:sz w:val="20"/>
          <w:szCs w:val="20"/>
          <w:lang w:val="pt-BR"/>
        </w:rPr>
        <w:tab/>
        <w:tab/>
        <w:t>b.1) O valor da multa poderá ser descontado das faturas devidas à CONTRATADA;</w:t>
      </w:r>
    </w:p>
    <w:p>
      <w:pPr>
        <w:pStyle w:val="Normal"/>
        <w:spacing w:lineRule="auto" w:line="276" w:before="113" w:after="113"/>
        <w:ind w:hanging="0" w:left="0" w:right="0"/>
        <w:jc w:val="both"/>
        <w:rPr>
          <w:lang w:val="pt-BR"/>
        </w:rPr>
      </w:pPr>
      <w:r>
        <w:rPr>
          <w:rFonts w:ascii="Verdana" w:hAnsi="Verdana"/>
          <w:iCs/>
          <w:sz w:val="20"/>
          <w:szCs w:val="20"/>
          <w:lang w:val="pt-BR"/>
        </w:rPr>
        <w:tab/>
        <w:tab/>
        <w:t xml:space="preserve">b.2) A multa pode ser aplicada isoladamente ou juntamente com as penalidades definidas nos itens “c” e “d” abaixo: </w:t>
      </w:r>
    </w:p>
    <w:p>
      <w:pPr>
        <w:pStyle w:val="Normal"/>
        <w:spacing w:lineRule="auto" w:line="276" w:before="113" w:after="113"/>
        <w:ind w:hanging="0" w:left="0" w:right="0"/>
        <w:jc w:val="both"/>
        <w:rPr>
          <w:lang w:val="pt-BR"/>
        </w:rPr>
      </w:pPr>
      <w:r>
        <w:rPr>
          <w:rFonts w:ascii="Verdana" w:hAnsi="Verdana"/>
          <w:iCs/>
          <w:sz w:val="20"/>
          <w:szCs w:val="20"/>
          <w:lang w:val="pt-BR"/>
        </w:rPr>
        <w:tab/>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276" w:before="113" w:after="113"/>
        <w:ind w:hanging="0" w:left="0" w:right="0"/>
        <w:jc w:val="both"/>
        <w:rPr>
          <w:lang w:val="pt-BR"/>
        </w:rPr>
      </w:pPr>
      <w:r>
        <w:rPr>
          <w:rFonts w:ascii="Verdana" w:hAnsi="Verdana"/>
          <w:iCs/>
          <w:sz w:val="20"/>
          <w:szCs w:val="20"/>
          <w:lang w:val="pt-BR"/>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.3. Na aplicação das sanções serão considerados:</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.3.1. A natureza e a gravidade da infração cometida.</w:t>
      </w:r>
    </w:p>
    <w:p>
      <w:pPr>
        <w:pStyle w:val="Normal"/>
        <w:spacing w:lineRule="auto" w:line="276" w:before="113" w:after="113"/>
        <w:ind w:hanging="0" w:left="0" w:right="0"/>
        <w:jc w:val="both"/>
        <w:rPr>
          <w:lang w:val="pt-BR"/>
        </w:rPr>
      </w:pPr>
      <w:r>
        <w:rPr>
          <w:rFonts w:ascii="Verdana" w:hAnsi="Verdana"/>
          <w:b w:val="false"/>
          <w:bCs w:val="false"/>
          <w:iCs/>
          <w:sz w:val="20"/>
          <w:szCs w:val="20"/>
          <w:lang w:val="pt-BR"/>
        </w:rPr>
        <w:t>11.3.2. As peculiaridades do caso concreto.</w:t>
      </w:r>
    </w:p>
    <w:p>
      <w:pPr>
        <w:pStyle w:val="Normal"/>
        <w:spacing w:lineRule="auto" w:line="276" w:before="113" w:after="113"/>
        <w:ind w:hanging="0" w:left="0" w:right="0"/>
        <w:jc w:val="both"/>
        <w:rPr>
          <w:lang w:val="pt-BR"/>
        </w:rPr>
      </w:pPr>
      <w:r>
        <w:rPr>
          <w:rFonts w:ascii="Verdana" w:hAnsi="Verdana"/>
          <w:b w:val="false"/>
          <w:bCs w:val="false"/>
          <w:iCs/>
          <w:sz w:val="20"/>
          <w:szCs w:val="20"/>
          <w:lang w:val="pt-BR"/>
        </w:rPr>
        <w:t>11.3.3. As circunstâncias agravantes ou atenuantes.</w:t>
      </w:r>
    </w:p>
    <w:p>
      <w:pPr>
        <w:pStyle w:val="Normal"/>
        <w:spacing w:lineRule="auto" w:line="276" w:before="113" w:after="113"/>
        <w:ind w:hanging="0" w:left="0" w:right="0"/>
        <w:jc w:val="both"/>
        <w:rPr>
          <w:lang w:val="pt-BR"/>
        </w:rPr>
      </w:pPr>
      <w:r>
        <w:rPr>
          <w:rFonts w:ascii="Verdana" w:hAnsi="Verdana"/>
          <w:b w:val="false"/>
          <w:bCs w:val="false"/>
          <w:iCs/>
          <w:sz w:val="20"/>
          <w:szCs w:val="20"/>
          <w:lang w:val="pt-BR"/>
        </w:rPr>
        <w:t>11.3.4. Os danos que dela provierem para a Administração Pública.</w:t>
      </w:r>
    </w:p>
    <w:p>
      <w:pPr>
        <w:pStyle w:val="Normal"/>
        <w:spacing w:lineRule="auto" w:line="276" w:before="113" w:after="113"/>
        <w:ind w:hanging="0" w:left="0" w:right="0"/>
        <w:jc w:val="both"/>
        <w:rPr>
          <w:lang w:val="pt-BR"/>
        </w:rPr>
      </w:pPr>
      <w:r>
        <w:rPr>
          <w:rFonts w:eastAsia="Times New Roman" w:cs="Times New Roman" w:ascii="Verdana" w:hAnsi="Verdana"/>
          <w:b w:val="false"/>
          <w:bCs w:val="false"/>
          <w:iCs/>
          <w:color w:val="000000"/>
          <w:sz w:val="20"/>
          <w:szCs w:val="20"/>
          <w:lang w:val="pt-BR"/>
        </w:rPr>
        <w:t>11</w:t>
      </w:r>
      <w:r>
        <w:rPr>
          <w:rFonts w:ascii="Verdana" w:hAnsi="Verdana"/>
          <w:b w:val="false"/>
          <w:bCs w:val="false"/>
          <w:iCs/>
          <w:sz w:val="20"/>
          <w:szCs w:val="20"/>
          <w:lang w:val="pt-BR"/>
        </w:rPr>
        <w:t>.3.5. A implantação ou o aperfeiçoamento de programa de integridade, conforme normas e orientações dos órgãos de controle.</w:t>
      </w:r>
    </w:p>
    <w:p>
      <w:pPr>
        <w:pStyle w:val="Normal"/>
        <w:spacing w:lineRule="auto" w:line="276" w:before="113" w:after="113"/>
        <w:ind w:hanging="0" w:left="0" w:right="0"/>
        <w:jc w:val="both"/>
        <w:rPr>
          <w:lang w:val="pt-BR"/>
        </w:rPr>
      </w:pPr>
      <w:r>
        <w:rPr>
          <w:rFonts w:ascii="Verdana" w:hAnsi="Verdana"/>
          <w:b w:val="false"/>
          <w:bCs w:val="false"/>
          <w:iCs/>
          <w:sz w:val="20"/>
          <w:szCs w:val="20"/>
          <w:lang w:val="pt-BR"/>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76" w:before="113" w:after="113"/>
        <w:ind w:hanging="0" w:left="0" w:right="0"/>
        <w:jc w:val="both"/>
        <w:rPr>
          <w:lang w:val="pt-BR"/>
        </w:rPr>
      </w:pPr>
      <w:r>
        <w:rPr>
          <w:rFonts w:ascii="Verdana" w:hAnsi="Verdana"/>
          <w:b w:val="false"/>
          <w:bCs w:val="false"/>
          <w:iCs/>
          <w:sz w:val="20"/>
          <w:szCs w:val="20"/>
          <w:lang w:val="pt-BR" w:eastAsia="en-US"/>
        </w:rPr>
        <w:t xml:space="preserve">11.5. </w:t>
      </w:r>
      <w:r>
        <w:rPr>
          <w:rFonts w:ascii="Verdana" w:hAnsi="Verdana"/>
          <w:iCs/>
          <w:sz w:val="20"/>
          <w:szCs w:val="20"/>
          <w:lang w:val="pt-BR" w:eastAsia="en-U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76" w:before="113" w:after="113"/>
        <w:ind w:hanging="0" w:left="0" w:right="0"/>
        <w:jc w:val="both"/>
        <w:rPr>
          <w:rFonts w:ascii="Verdana" w:hAnsi="Verdana" w:cs="Arial"/>
          <w:b/>
          <w:sz w:val="20"/>
          <w:szCs w:val="20"/>
          <w:u w:val="single"/>
          <w:lang w:val="pt-BR"/>
        </w:rPr>
      </w:pPr>
      <w:r>
        <w:rPr>
          <w:rFonts w:cs="Arial" w:ascii="Verdana" w:hAnsi="Verdana"/>
          <w:b/>
          <w:sz w:val="20"/>
          <w:szCs w:val="20"/>
          <w:u w:val="single"/>
          <w:lang w:val="pt-BR"/>
        </w:rPr>
      </w:r>
    </w:p>
    <w:p>
      <w:pPr>
        <w:pStyle w:val="Normal"/>
        <w:spacing w:lineRule="auto" w:line="276" w:before="113" w:after="113"/>
        <w:ind w:hanging="0" w:left="0" w:right="0"/>
        <w:jc w:val="both"/>
        <w:rPr>
          <w:lang w:val="pt-BR"/>
        </w:rPr>
      </w:pPr>
      <w:r>
        <w:rPr>
          <w:rFonts w:ascii="Verdana" w:hAnsi="Verdana"/>
          <w:b/>
          <w:bCs/>
          <w:sz w:val="20"/>
          <w:szCs w:val="20"/>
          <w:lang w:val="pt-BR" w:eastAsia="en-US"/>
        </w:rPr>
        <w:t>12. DA HABILITAÇÃO</w:t>
      </w:r>
    </w:p>
    <w:p>
      <w:pPr>
        <w:pStyle w:val="Nivel01"/>
        <w:tabs>
          <w:tab w:val="left" w:pos="517" w:leader="none"/>
          <w:tab w:val="left" w:pos="567" w:leader="none"/>
          <w:tab w:val="left" w:pos="683" w:leader="none"/>
        </w:tabs>
        <w:spacing w:lineRule="auto" w:line="276" w:before="113" w:after="113"/>
        <w:ind w:hanging="0" w:left="0" w:right="0"/>
        <w:rPr>
          <w:lang w:val="pt-BR"/>
        </w:rPr>
      </w:pPr>
      <w:r>
        <w:rPr>
          <w:rFonts w:cs="Verdana" w:ascii="Verdana" w:hAnsi="Verdana"/>
          <w:b w:val="false"/>
          <w:bCs w:val="false"/>
          <w:sz w:val="20"/>
          <w:szCs w:val="20"/>
          <w:lang w:val="pt-BR"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sz w:val="20"/>
          <w:szCs w:val="20"/>
          <w:lang w:val="pt-BR" w:eastAsia="ar-SA"/>
        </w:rPr>
        <w:t>a) SICAF;</w:t>
      </w:r>
    </w:p>
    <w:p>
      <w:pPr>
        <w:pStyle w:val="ListParagraph"/>
        <w:spacing w:lineRule="auto" w:line="276" w:before="113" w:after="113"/>
        <w:ind w:hanging="0" w:left="0" w:right="0"/>
        <w:contextualSpacing w:val="false"/>
        <w:jc w:val="both"/>
        <w:rPr/>
      </w:pPr>
      <w:r>
        <w:rPr>
          <w:rFonts w:cs="Verdana" w:ascii="Verdana" w:hAnsi="Verdana"/>
          <w:b w:val="false"/>
          <w:bCs w:val="false"/>
          <w:sz w:val="20"/>
          <w:szCs w:val="20"/>
          <w:lang w:val="pt-BR" w:eastAsia="ar-SA"/>
        </w:rPr>
        <w:t>b) Cadastro Nacional de Empresas Inidôneas e Suspensas – CEIS, mantido pela Controladoria-Geral da União (</w:t>
      </w:r>
      <w:hyperlink r:id="rId3">
        <w:r>
          <w:rPr>
            <w:rStyle w:val="ListLabel39"/>
            <w:rFonts w:cs="Verdana" w:ascii="Verdana" w:hAnsi="Verdana"/>
            <w:b w:val="false"/>
            <w:bCs w:val="false"/>
            <w:color w:val="000080"/>
            <w:sz w:val="20"/>
            <w:szCs w:val="20"/>
            <w:u w:val="single"/>
            <w:lang w:val="pt-BR" w:eastAsia="ar-SA"/>
          </w:rPr>
          <w:t>www.portaldatransparencia.gov.br/ceis</w:t>
        </w:r>
      </w:hyperlink>
      <w:r>
        <w:rPr>
          <w:rFonts w:cs="Verdana" w:ascii="Verdana" w:hAnsi="Verdana"/>
          <w:b w:val="false"/>
          <w:bCs w:val="false"/>
          <w:sz w:val="20"/>
          <w:szCs w:val="20"/>
          <w:lang w:val="pt-BR" w:eastAsia="ar-SA"/>
        </w:rPr>
        <w:t>);</w:t>
      </w:r>
    </w:p>
    <w:p>
      <w:pPr>
        <w:pStyle w:val="ListParagraph"/>
        <w:spacing w:lineRule="auto" w:line="276" w:before="113" w:after="113"/>
        <w:ind w:hanging="0" w:left="0" w:right="0"/>
        <w:contextualSpacing w:val="false"/>
        <w:jc w:val="both"/>
        <w:rPr/>
      </w:pPr>
      <w:r>
        <w:rPr>
          <w:rFonts w:cs="Verdana" w:ascii="Verdana" w:hAnsi="Verdana"/>
          <w:b w:val="false"/>
          <w:bCs w:val="false"/>
          <w:sz w:val="20"/>
          <w:szCs w:val="20"/>
          <w:lang w:val="pt-BR" w:eastAsia="ar-SA"/>
        </w:rPr>
        <w:t>c) Cadastro Nacional de Condenações Cíveis por Atos de Improbidade Administrativa, mantido pelo Conselho Nacional de Justiça (</w:t>
      </w:r>
      <w:hyperlink r:id="rId4">
        <w:r>
          <w:rPr>
            <w:rStyle w:val="ListLabel39"/>
            <w:rFonts w:cs="Verdana" w:ascii="Verdana" w:hAnsi="Verdana"/>
            <w:b w:val="false"/>
            <w:bCs w:val="false"/>
            <w:color w:val="000080"/>
            <w:sz w:val="20"/>
            <w:szCs w:val="20"/>
            <w:u w:val="single"/>
            <w:lang w:val="pt-BR" w:eastAsia="ar-SA"/>
          </w:rPr>
          <w:t>www.cnj.jus.br/improbidade_adm/consultar_requerido.php</w:t>
        </w:r>
      </w:hyperlink>
      <w:r>
        <w:rPr>
          <w:rFonts w:cs="Verdana" w:ascii="Verdana" w:hAnsi="Verdana"/>
          <w:b w:val="false"/>
          <w:bCs w:val="false"/>
          <w:sz w:val="20"/>
          <w:szCs w:val="20"/>
          <w:lang w:val="pt-BR" w:eastAsia="ar-SA"/>
        </w:rPr>
        <w:t>).</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sz w:val="20"/>
          <w:szCs w:val="20"/>
          <w:lang w:val="pt-BR" w:eastAsia="ar-SA"/>
        </w:rPr>
        <w:t>d) Cadastro de Inidôneos e o Cadastro Integrado de Condenações por Ilícitos Administrativos – CADICON, mantidos pelo Tribunal de Contas da União – TCU;</w:t>
      </w:r>
    </w:p>
    <w:p>
      <w:pPr>
        <w:pStyle w:val="Normal"/>
        <w:spacing w:lineRule="auto" w:line="276" w:before="113" w:after="113"/>
        <w:ind w:left="0" w:right="0"/>
        <w:jc w:val="both"/>
        <w:rPr/>
      </w:pPr>
      <w:r>
        <w:rPr>
          <w:rFonts w:cs="Verdana" w:ascii="Verdana" w:hAnsi="Verdana"/>
          <w:b w:val="false"/>
          <w:bCs w:val="false"/>
          <w:sz w:val="20"/>
          <w:szCs w:val="20"/>
          <w:lang w:val="pt-BR" w:eastAsia="ar-SA"/>
        </w:rPr>
        <w:t>e) Cadastro de empresas inid</w:t>
      </w:r>
      <w:r>
        <w:rPr>
          <w:rFonts w:cs="Verdana" w:ascii="Verdana" w:hAnsi="Verdana"/>
          <w:b w:val="false"/>
          <w:bCs w:val="false"/>
          <w:sz w:val="20"/>
          <w:szCs w:val="20"/>
          <w:lang w:val="pt-BR"/>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40"/>
            <w:rFonts w:cs="Verdana" w:ascii="Verdana" w:hAnsi="Verdana"/>
            <w:b w:val="false"/>
            <w:bCs w:val="false"/>
            <w:color w:val="000080"/>
            <w:sz w:val="20"/>
            <w:szCs w:val="20"/>
            <w:u w:val="single"/>
            <w:lang w:val="pt-BR"/>
          </w:rPr>
          <w:t>https://www.tcees.tc.br/portal-da-transparencia/consultas/lista-de</w:t>
        </w:r>
      </w:hyperlink>
      <w:r>
        <w:rPr>
          <w:rFonts w:cs="Verdana" w:ascii="Verdana" w:hAnsi="Verdana"/>
          <w:b w:val="false"/>
          <w:bCs w:val="false"/>
          <w:sz w:val="20"/>
          <w:szCs w:val="20"/>
          <w:lang w:val="pt-BR"/>
        </w:rPr>
        <w:t xml:space="preserve"> responsáveis/proibidos-de-contratar/).</w:t>
      </w:r>
    </w:p>
    <w:p>
      <w:pPr>
        <w:pStyle w:val="Normal"/>
        <w:spacing w:lineRule="auto" w:line="276" w:before="113" w:after="113"/>
        <w:ind w:left="0" w:right="0"/>
        <w:jc w:val="both"/>
        <w:rPr/>
      </w:pPr>
      <w:r>
        <w:rPr>
          <w:rFonts w:cs="Verdana" w:ascii="Verdana" w:hAnsi="Verdana"/>
          <w:b w:val="false"/>
          <w:bCs w:val="false"/>
          <w:sz w:val="20"/>
          <w:szCs w:val="20"/>
          <w:lang w:val="pt-BR" w:eastAsia="ar-SA"/>
        </w:rPr>
        <w:t xml:space="preserve">12.1.1. </w:t>
      </w:r>
      <w:r>
        <w:rPr>
          <w:rFonts w:cs="Verdana" w:ascii="Verdana" w:hAnsi="Verdana"/>
          <w:sz w:val="20"/>
          <w:szCs w:val="20"/>
          <w:lang w:val="pt-BR" w:eastAsia="ar-SA"/>
        </w:rPr>
        <w:t>Para a consulta de licitantes pessoa jurídica poderá haver a substituição das consultas das alíneas “b”, “c” e “d” acima pela Consulta Consolidada de Pessoa Jurídica do TCU (</w:t>
      </w:r>
      <w:hyperlink r:id="rId6">
        <w:r>
          <w:rPr>
            <w:rStyle w:val="ListLabel41"/>
            <w:rFonts w:cs="Verdana" w:ascii="Verdana" w:hAnsi="Verdana"/>
            <w:color w:val="000080"/>
            <w:sz w:val="20"/>
            <w:szCs w:val="20"/>
            <w:u w:val="single"/>
            <w:lang w:val="pt-BR" w:eastAsia="ar-SA"/>
          </w:rPr>
          <w:t>https://certidoesapf.apps.tcu.gov.br/</w:t>
        </w:r>
      </w:hyperlink>
      <w:r>
        <w:rPr>
          <w:rFonts w:cs="Verdana" w:ascii="Verdana" w:hAnsi="Verdana"/>
          <w:sz w:val="20"/>
          <w:szCs w:val="20"/>
          <w:lang w:val="pt-BR" w:eastAsia="ar-SA"/>
        </w:rPr>
        <w:t>);</w:t>
      </w:r>
    </w:p>
    <w:p>
      <w:pPr>
        <w:pStyle w:val="Normal"/>
        <w:spacing w:lineRule="auto" w:line="276" w:before="113" w:after="113"/>
        <w:ind w:left="0" w:right="0"/>
        <w:jc w:val="both"/>
        <w:rPr>
          <w:lang w:val="pt-BR"/>
        </w:rPr>
      </w:pPr>
      <w:r>
        <w:rPr>
          <w:rFonts w:cs="Verdana" w:ascii="Verdana" w:hAnsi="Verdana"/>
          <w:b w:val="false"/>
          <w:bCs w:val="false"/>
          <w:color w:val="000000"/>
          <w:sz w:val="20"/>
          <w:szCs w:val="20"/>
          <w:lang w:val="pt-BR"/>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12.1.2.1</w:t>
      </w:r>
      <w:r>
        <w:rPr>
          <w:rFonts w:cs="Verdana" w:ascii="Verdana" w:hAnsi="Verdana"/>
          <w:b/>
          <w:bCs/>
          <w:color w:val="000000"/>
          <w:sz w:val="20"/>
          <w:szCs w:val="20"/>
          <w:lang w:val="pt-BR"/>
        </w:rPr>
        <w:t>.</w:t>
      </w:r>
      <w:r>
        <w:rPr>
          <w:rFonts w:cs="Verdana" w:ascii="Verdana" w:hAnsi="Verdana"/>
          <w:bCs/>
          <w:color w:val="000000"/>
          <w:sz w:val="20"/>
          <w:szCs w:val="20"/>
          <w:lang w:val="pt-BR"/>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1.1.2.3. O licitante será convocado para manifestação previamente à sua desclassificação.</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12.1.3 .Constatada a existência de sanção, o Pregoeiro reputará o licitante inabilitado, por falta de condição de participação.</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76" w:before="113" w:after="113"/>
        <w:ind w:hanging="0" w:left="0" w:right="0"/>
        <w:contextualSpacing w:val="false"/>
        <w:jc w:val="both"/>
        <w:rPr>
          <w:lang w:val="pt-BR"/>
        </w:rPr>
      </w:pPr>
      <w:r>
        <w:rPr>
          <w:rFonts w:cs="Verdana" w:ascii="Verdana" w:hAnsi="Verdana"/>
          <w:b w:val="false"/>
          <w:bCs w:val="false"/>
          <w:sz w:val="20"/>
          <w:szCs w:val="20"/>
          <w:lang w:val="pt-BR" w:eastAsia="ar-SA"/>
        </w:rPr>
        <w:t xml:space="preserve">12.2. </w:t>
      </w:r>
      <w:r>
        <w:rPr>
          <w:rFonts w:cs="Verdana" w:ascii="Verdana" w:hAnsi="Verdana"/>
          <w:b w:val="false"/>
          <w:bCs w:val="false"/>
          <w:color w:val="000000"/>
          <w:sz w:val="20"/>
          <w:szCs w:val="20"/>
          <w:lang w:val="pt-BR"/>
        </w:rPr>
        <w:t xml:space="preserve">Caso atendidas as condições de participação, </w:t>
      </w:r>
      <w:r>
        <w:rPr>
          <w:rFonts w:cs="Verdana" w:ascii="Verdana" w:hAnsi="Verdana"/>
          <w:b w:val="false"/>
          <w:bCs w:val="false"/>
          <w:sz w:val="20"/>
          <w:szCs w:val="20"/>
          <w:lang w:val="pt-BR"/>
        </w:rPr>
        <w:t>a habilitação dos licitantes será verificada por meio do SICAF, nos documentos por ele abrangidos</w:t>
      </w:r>
      <w:r>
        <w:rPr>
          <w:rFonts w:cs="Verdana" w:ascii="Verdana" w:hAnsi="Verdana"/>
          <w:b w:val="false"/>
          <w:bCs w:val="false"/>
          <w:sz w:val="20"/>
          <w:szCs w:val="20"/>
          <w:lang w:val="pt-BR"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sz w:val="20"/>
          <w:szCs w:val="20"/>
          <w:lang w:val="pt-BR"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12.3. Ha</w:t>
      </w:r>
      <w:r>
        <w:rPr>
          <w:rFonts w:cs="Verdana" w:ascii="Verdana" w:hAnsi="Verdana"/>
          <w:color w:val="000000"/>
          <w:sz w:val="20"/>
          <w:szCs w:val="20"/>
          <w:lang w:val="pt-BR"/>
        </w:rPr>
        <w:t>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sz w:val="20"/>
          <w:szCs w:val="20"/>
          <w:lang w:val="pt-BR"/>
        </w:rPr>
        <w:t>12.4 Somente haverá a necessidade de comprovação do preenchimento de requisitos mediante apresentação dos documentos originais não-digitais quando houver dúvida em relação à integridade do documento digital.</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sz w:val="20"/>
          <w:szCs w:val="20"/>
          <w:lang w:val="pt-BR"/>
        </w:rPr>
        <w:t>12.5 Não serão aceitos documentos de habilitação com indicação de CNPJ/CPF diferentes, salvo aqueles legalmente permitidos.</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sz w:val="20"/>
          <w:szCs w:val="20"/>
          <w:lang w:val="pt-BR"/>
        </w:rPr>
        <w:t>12.6 Serão aceitos registros de CNPJ de licitante matriz e filial com diferenças de números de documentos pertinentes ao CND e ao CRF/FGTS, quando for comprovada a centralização do recolhimento dessas contribuições.</w:t>
      </w:r>
    </w:p>
    <w:p>
      <w:pPr>
        <w:pStyle w:val="PADRO"/>
        <w:widowControl/>
        <w:shd w:fill="FFFFFF"/>
        <w:tabs>
          <w:tab w:val="clear" w:pos="708"/>
          <w:tab w:val="left" w:pos="567" w:leader="none"/>
        </w:tabs>
        <w:spacing w:lineRule="auto" w:line="276" w:before="113" w:after="113"/>
        <w:ind w:hanging="0" w:left="0" w:right="0"/>
        <w:rPr>
          <w:lang w:val="pt-BR"/>
        </w:rPr>
      </w:pPr>
      <w:r>
        <w:rPr>
          <w:rFonts w:cs="Verdana" w:ascii="Verdana" w:hAnsi="Verdana"/>
          <w:b w:val="false"/>
          <w:bCs w:val="false"/>
          <w:sz w:val="20"/>
          <w:szCs w:val="20"/>
          <w:lang w:val="pt-BR"/>
        </w:rPr>
        <w:t>12.7 Ress</w:t>
      </w:r>
      <w:r>
        <w:rPr>
          <w:rFonts w:cs="Verdana" w:ascii="Verdana" w:hAnsi="Verdana"/>
          <w:sz w:val="20"/>
          <w:szCs w:val="20"/>
          <w:lang w:val="pt-BR"/>
        </w:rPr>
        <w:t>alvado o disposto no item 5.3, os licitantes deverão encaminhar, nos termos deste Edital, a documentação relacionada nos itens a seguir, para fins de habilitação:</w:t>
      </w:r>
    </w:p>
    <w:p>
      <w:pPr>
        <w:pStyle w:val="ListParagraph"/>
        <w:spacing w:lineRule="auto" w:line="276" w:before="113" w:after="113"/>
        <w:ind w:hanging="0" w:left="0" w:right="0"/>
        <w:contextualSpacing w:val="false"/>
        <w:jc w:val="both"/>
        <w:rPr>
          <w:lang w:val="pt-BR"/>
        </w:rPr>
      </w:pPr>
      <w:r>
        <w:rPr>
          <w:rFonts w:cs="Verdana" w:ascii="Verdana" w:hAnsi="Verdana"/>
          <w:b/>
          <w:bCs/>
          <w:color w:val="000000"/>
          <w:sz w:val="20"/>
          <w:szCs w:val="20"/>
          <w:lang w:val="pt-BR"/>
        </w:rPr>
        <w:t>12.8 Habilitação jurídica</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12.8.1 No caso de empresário individual: inscrição no Registro Público de Empresas Mercantis, a cargo da Junta Comercial da respectiva sede.</w:t>
      </w:r>
    </w:p>
    <w:p>
      <w:pPr>
        <w:pStyle w:val="ListParagraph"/>
        <w:spacing w:lineRule="auto" w:line="276" w:before="113" w:after="113"/>
        <w:ind w:hanging="0" w:left="0" w:right="0"/>
        <w:contextualSpacing w:val="false"/>
        <w:jc w:val="both"/>
        <w:rPr/>
      </w:pPr>
      <w:r>
        <w:rPr>
          <w:rFonts w:cs="Verdana" w:ascii="Verdana" w:hAnsi="Verdana"/>
          <w:b w:val="false"/>
          <w:bCs w:val="false"/>
          <w:color w:val="000000"/>
          <w:sz w:val="20"/>
          <w:szCs w:val="20"/>
          <w:lang w:val="pt-BR"/>
        </w:rPr>
        <w:t xml:space="preserve">12.8.2 Em se tratando de microempreendedor individual – MEI: Certificado da Condição de Microempreendedor Individual – CCMEI, cuja aceitação ficará condicionada à verificação da autenticidade no sítio </w:t>
      </w:r>
      <w:hyperlink r:id="rId7">
        <w:r>
          <w:rPr>
            <w:rStyle w:val="ListLabel42"/>
            <w:rFonts w:cs="Verdana" w:ascii="Verdana" w:hAnsi="Verdana"/>
            <w:b w:val="false"/>
            <w:bCs w:val="false"/>
            <w:color w:val="000000"/>
            <w:sz w:val="20"/>
            <w:szCs w:val="20"/>
            <w:u w:val="single"/>
            <w:lang w:val="pt-BR"/>
          </w:rPr>
          <w:t>www.portaldoempreendedor.gov.br</w:t>
        </w:r>
      </w:hyperlink>
      <w:r>
        <w:rPr>
          <w:rFonts w:cs="Verdana" w:ascii="Verdana" w:hAnsi="Verdana"/>
          <w:b w:val="false"/>
          <w:bCs w:val="false"/>
          <w:color w:val="000000"/>
          <w:sz w:val="20"/>
          <w:szCs w:val="20"/>
          <w:u w:val="single"/>
          <w:lang w:val="pt-BR"/>
        </w:rPr>
        <w:t>.</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12.8.4 Inscrição no Registro Público de Empresas Mercantis onde opera, com averbação no Registro onde tem sede a matriz, no caso de ser o participante sucursal, filial ou agência.</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12.8.5 No caso de sociedade simples: inscrição do ato constitutivo no Registro Civil das Pessoas Jurídicas do local de sua sede, acompanhada de prova da indicação dos seus administradores.</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12.8.7 No</w:t>
      </w:r>
      <w:r>
        <w:rPr>
          <w:rFonts w:cs="Verdana" w:ascii="Verdana" w:hAnsi="Verdana"/>
          <w:bCs/>
          <w:color w:val="000000"/>
          <w:sz w:val="20"/>
          <w:szCs w:val="20"/>
          <w:lang w:val="pt-BR"/>
        </w:rPr>
        <w:t xml:space="preserve"> caso de empresa ou sociedade estrangeira em funcionamento no País: decreto de autorização.</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12.8.8 Os documentos acima deverão estar acompanhados de todas as alterações ou da con</w:t>
      </w:r>
      <w:r>
        <w:rPr>
          <w:rFonts w:cs="Verdana" w:ascii="Verdana" w:hAnsi="Verdana"/>
          <w:bCs/>
          <w:color w:val="000000"/>
          <w:sz w:val="20"/>
          <w:szCs w:val="20"/>
          <w:lang w:val="pt-BR"/>
        </w:rPr>
        <w:t>solidação respectiva.</w:t>
      </w:r>
    </w:p>
    <w:p>
      <w:pPr>
        <w:pStyle w:val="ListParagraph"/>
        <w:spacing w:lineRule="auto" w:line="276" w:before="113" w:after="113"/>
        <w:ind w:hanging="0" w:left="0" w:right="0"/>
        <w:contextualSpacing w:val="false"/>
        <w:jc w:val="both"/>
        <w:rPr>
          <w:lang w:val="pt-BR"/>
        </w:rPr>
      </w:pPr>
      <w:r>
        <w:rPr>
          <w:rFonts w:cs="Verdana" w:ascii="Verdana" w:hAnsi="Verdana"/>
          <w:b/>
          <w:bCs/>
          <w:color w:val="000000"/>
          <w:sz w:val="20"/>
          <w:szCs w:val="20"/>
          <w:lang w:val="pt-BR"/>
        </w:rPr>
        <w:t xml:space="preserve">12.9 Regularidade fiscal </w:t>
      </w:r>
      <w:r>
        <w:rPr>
          <w:rFonts w:cs="Verdana" w:ascii="Verdana" w:hAnsi="Verdana"/>
          <w:b/>
          <w:bCs/>
          <w:sz w:val="20"/>
          <w:szCs w:val="20"/>
          <w:lang w:val="pt-BR"/>
        </w:rPr>
        <w:t>e trabalhista</w:t>
      </w:r>
    </w:p>
    <w:p>
      <w:pPr>
        <w:pStyle w:val="Normal"/>
        <w:spacing w:lineRule="auto" w:line="276" w:before="113" w:after="113"/>
        <w:ind w:left="0" w:right="0"/>
        <w:jc w:val="both"/>
        <w:rPr>
          <w:lang w:val="pt-BR"/>
        </w:rPr>
      </w:pPr>
      <w:r>
        <w:rPr>
          <w:rFonts w:cs="Verdana" w:ascii="Verdana" w:hAnsi="Verdana"/>
          <w:b w:val="false"/>
          <w:bCs w:val="false"/>
          <w:sz w:val="20"/>
          <w:szCs w:val="20"/>
          <w:lang w:val="pt-BR" w:eastAsia="en-US"/>
        </w:rPr>
        <w:t>12.9.1 Prova de inscrição no Cadastro Nacional de Pessoas Jurídicas ou no Cadastro de Pessoas Físicas, conforme o caso.</w:t>
      </w:r>
    </w:p>
    <w:p>
      <w:pPr>
        <w:pStyle w:val="Normal"/>
        <w:spacing w:lineRule="auto" w:line="276" w:before="113" w:after="113"/>
        <w:ind w:left="0" w:right="0"/>
        <w:jc w:val="both"/>
        <w:rPr>
          <w:lang w:val="pt-BR"/>
        </w:rPr>
      </w:pPr>
      <w:r>
        <w:rPr>
          <w:rFonts w:cs="Verdana" w:ascii="Verdana" w:hAnsi="Verdana"/>
          <w:b w:val="false"/>
          <w:bCs w:val="false"/>
          <w:sz w:val="20"/>
          <w:szCs w:val="20"/>
          <w:lang w:val="pt-BR" w:eastAsia="en-US"/>
        </w:rPr>
        <w:t>12.9.2 Certidão de regularidade junto à fazenda pública Municipal, do domicílio do Licitante.</w:t>
      </w:r>
    </w:p>
    <w:p>
      <w:pPr>
        <w:pStyle w:val="Normal"/>
        <w:spacing w:lineRule="auto" w:line="276" w:before="113" w:after="113"/>
        <w:ind w:left="0" w:right="0"/>
        <w:jc w:val="both"/>
        <w:rPr>
          <w:lang w:val="pt-BR"/>
        </w:rPr>
      </w:pPr>
      <w:r>
        <w:rPr>
          <w:rFonts w:cs="Verdana" w:ascii="Verdana" w:hAnsi="Verdana"/>
          <w:b w:val="false"/>
          <w:bCs w:val="false"/>
          <w:sz w:val="20"/>
          <w:szCs w:val="20"/>
          <w:lang w:val="pt-BR"/>
        </w:rPr>
        <w:t>12.9.3 Certidão de regularidade junto à fazenda pública Estadual, do domicílio do Licitante.</w:t>
      </w:r>
    </w:p>
    <w:p>
      <w:pPr>
        <w:pStyle w:val="Normal"/>
        <w:spacing w:lineRule="auto" w:line="276" w:before="113" w:after="113"/>
        <w:ind w:left="0" w:right="0"/>
        <w:jc w:val="both"/>
        <w:rPr>
          <w:lang w:val="pt-BR"/>
        </w:rPr>
      </w:pPr>
      <w:r>
        <w:rPr>
          <w:rFonts w:cs="Verdana" w:ascii="Verdana" w:hAnsi="Verdana"/>
          <w:b w:val="false"/>
          <w:bCs w:val="false"/>
          <w:sz w:val="20"/>
          <w:szCs w:val="20"/>
          <w:lang w:val="pt-BR"/>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276" w:before="113" w:after="113"/>
        <w:ind w:left="0" w:right="0"/>
        <w:jc w:val="both"/>
        <w:rPr>
          <w:lang w:val="pt-BR"/>
        </w:rPr>
      </w:pPr>
      <w:r>
        <w:rPr>
          <w:rFonts w:cs="Verdana" w:ascii="Verdana" w:hAnsi="Verdana"/>
          <w:b w:val="false"/>
          <w:bCs w:val="false"/>
          <w:sz w:val="20"/>
          <w:szCs w:val="20"/>
          <w:lang w:val="pt-BR"/>
        </w:rPr>
        <w:t>12.9.5 Certidão de regularidade junto ao FGTS;</w:t>
      </w:r>
    </w:p>
    <w:p>
      <w:pPr>
        <w:pStyle w:val="Normal"/>
        <w:spacing w:lineRule="auto" w:line="276" w:before="113" w:after="113"/>
        <w:ind w:left="0" w:right="0"/>
        <w:jc w:val="both"/>
        <w:rPr>
          <w:lang w:val="pt-BR"/>
        </w:rPr>
      </w:pPr>
      <w:r>
        <w:rPr>
          <w:rFonts w:cs="Verdana" w:ascii="Verdana" w:hAnsi="Verdana"/>
          <w:b w:val="false"/>
          <w:bCs w:val="false"/>
          <w:sz w:val="20"/>
          <w:szCs w:val="20"/>
          <w:lang w:val="pt-BR" w:eastAsia="en-US"/>
        </w:rPr>
        <w:t>12.9.6 Certidão Negativa De Débitos Trabalhistas (CNDT) de acordo com a Lei 12440 de 7 de julho de 2011.</w:t>
      </w:r>
    </w:p>
    <w:p>
      <w:pPr>
        <w:pStyle w:val="Normal"/>
        <w:spacing w:lineRule="auto" w:line="276" w:before="113" w:after="113"/>
        <w:ind w:left="0" w:right="0"/>
        <w:jc w:val="both"/>
        <w:rPr>
          <w:lang w:val="pt-BR"/>
        </w:rPr>
      </w:pPr>
      <w:r>
        <w:rPr>
          <w:rFonts w:cs="Verdana" w:ascii="Verdana" w:hAnsi="Verdana"/>
          <w:b w:val="false"/>
          <w:bCs w:val="false"/>
          <w:color w:val="000000"/>
          <w:sz w:val="20"/>
          <w:szCs w:val="20"/>
          <w:lang w:val="pt-BR" w:eastAsia="en-US" w:bidi="pt-BR"/>
        </w:rPr>
        <w:t xml:space="preserve">12.9.7 Caso o vencedor do menor preço seja qualificado como microempresa ou empresa de pequeno porte </w:t>
      </w:r>
      <w:r>
        <w:rPr>
          <w:rFonts w:cs="Verdana" w:ascii="Verdana" w:hAnsi="Verdana"/>
          <w:b w:val="false"/>
          <w:bCs w:val="false"/>
          <w:color w:val="000000"/>
          <w:sz w:val="20"/>
          <w:szCs w:val="20"/>
          <w:lang w:val="pt-BR" w:eastAsia="en-US"/>
        </w:rPr>
        <w:t>deverá apresentar toda a documentação exigida para efeito de</w:t>
      </w:r>
      <w:r>
        <w:rPr>
          <w:rFonts w:cs="Verdana" w:ascii="Verdana" w:hAnsi="Verdana"/>
          <w:color w:val="000000"/>
          <w:sz w:val="20"/>
          <w:szCs w:val="20"/>
          <w:lang w:val="pt-BR" w:eastAsia="en-US"/>
        </w:rPr>
        <w:t xml:space="preserve"> comprovação de regularidade fiscal, mesmo que esta apresente alguma restrição, sob pena de inabilitação.</w:t>
      </w:r>
    </w:p>
    <w:p>
      <w:pPr>
        <w:pStyle w:val="ListParagraph"/>
        <w:spacing w:lineRule="auto" w:line="276" w:before="113" w:after="113"/>
        <w:ind w:hanging="0" w:left="0" w:right="0"/>
        <w:contextualSpacing w:val="false"/>
        <w:jc w:val="both"/>
        <w:rPr>
          <w:lang w:val="pt-BR"/>
        </w:rPr>
      </w:pPr>
      <w:r>
        <w:rPr>
          <w:rFonts w:cs="Verdana" w:ascii="Verdana" w:hAnsi="Verdana"/>
          <w:b/>
          <w:color w:val="000000"/>
          <w:sz w:val="20"/>
          <w:szCs w:val="20"/>
          <w:lang w:val="pt-BR"/>
        </w:rPr>
        <w:t>12.10 Qualificação Econômico-Financeira</w:t>
      </w:r>
    </w:p>
    <w:p>
      <w:pPr>
        <w:pStyle w:val="ListParagraph"/>
        <w:spacing w:lineRule="auto" w:line="276" w:before="113" w:after="113"/>
        <w:ind w:hanging="0" w:left="0" w:right="0"/>
        <w:contextualSpacing w:val="false"/>
        <w:jc w:val="both"/>
        <w:rPr>
          <w:lang w:val="pt-BR"/>
        </w:rPr>
      </w:pPr>
      <w:r>
        <w:rPr>
          <w:rFonts w:cs="Verdana" w:ascii="Verdana" w:hAnsi="Verdana"/>
          <w:b w:val="false"/>
          <w:bCs w:val="false"/>
          <w:color w:val="000000"/>
          <w:sz w:val="20"/>
          <w:szCs w:val="20"/>
          <w:lang w:val="pt-BR"/>
        </w:rPr>
        <w:t>12.10.1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pacing w:lineRule="auto" w:line="276" w:before="113" w:after="113"/>
        <w:ind w:left="0" w:right="0"/>
        <w:jc w:val="both"/>
        <w:rPr>
          <w:lang w:val="pt-BR"/>
        </w:rPr>
      </w:pPr>
      <w:r>
        <w:rPr>
          <w:rFonts w:cs="Verdana" w:ascii="Verdana" w:hAnsi="Verdana"/>
          <w:b w:val="false"/>
          <w:bCs w:val="false"/>
          <w:color w:val="000000"/>
          <w:sz w:val="20"/>
          <w:szCs w:val="20"/>
          <w:lang w:val="pt-BR"/>
        </w:rPr>
        <w:t>12.10.2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76" w:before="113" w:after="113"/>
        <w:ind w:hanging="0" w:left="0" w:right="0"/>
        <w:jc w:val="both"/>
        <w:rPr>
          <w:lang w:val="pt-BR"/>
        </w:rPr>
      </w:pPr>
      <w:r>
        <w:rPr>
          <w:rFonts w:cs="Verdana" w:ascii="Verdana" w:hAnsi="Verdana"/>
          <w:b w:val="false"/>
          <w:bCs w:val="false"/>
          <w:sz w:val="20"/>
          <w:szCs w:val="20"/>
          <w:lang w:val="pt-BR"/>
        </w:rPr>
        <w:t>12.10.3 Para a contagem do prazo estabelecido na letra “a” deste capítulo, será contado a partir do primeiro dia que antecede a data da realização desta licitação.</w:t>
      </w:r>
    </w:p>
    <w:p>
      <w:pPr>
        <w:pStyle w:val="Normal"/>
        <w:widowControl/>
        <w:tabs>
          <w:tab w:val="clear" w:pos="708"/>
          <w:tab w:val="left" w:pos="850" w:leader="none"/>
        </w:tabs>
        <w:suppressAutoHyphens w:val="true"/>
        <w:bidi w:val="0"/>
        <w:spacing w:lineRule="auto" w:line="276" w:before="113" w:after="113"/>
        <w:ind w:hanging="0" w:left="0" w:right="0"/>
        <w:jc w:val="both"/>
        <w:rPr>
          <w:lang w:val="pt-BR"/>
        </w:rPr>
      </w:pPr>
      <w:r>
        <w:rPr>
          <w:rFonts w:cs="Verdana" w:ascii="Verdana" w:hAnsi="Verdana"/>
          <w:b w:val="false"/>
          <w:bCs w:val="false"/>
          <w:color w:val="000000"/>
          <w:sz w:val="20"/>
          <w:szCs w:val="20"/>
          <w:lang w:val="pt-BR" w:eastAsia="en-US"/>
        </w:rPr>
        <w:t xml:space="preserve">12.10.4 </w:t>
      </w:r>
      <w:r>
        <w:rPr>
          <w:rFonts w:cs="Verdana" w:ascii="Verdana" w:hAnsi="Verdana"/>
          <w:color w:val="000000"/>
          <w:sz w:val="20"/>
          <w:szCs w:val="20"/>
          <w:lang w:val="pt-BR" w:eastAsia="en-US"/>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pacing w:lineRule="auto" w:line="276" w:before="113" w:after="113"/>
        <w:ind w:hanging="0" w:left="0" w:right="0"/>
        <w:jc w:val="both"/>
        <w:rPr>
          <w:rFonts w:ascii="Verdana" w:hAnsi="Verdana"/>
          <w:sz w:val="20"/>
          <w:szCs w:val="20"/>
          <w:lang w:val="pt-BR"/>
        </w:rPr>
      </w:pPr>
      <w:r>
        <w:rPr>
          <w:rFonts w:ascii="Verdana" w:hAnsi="Verdana"/>
          <w:sz w:val="20"/>
          <w:szCs w:val="20"/>
          <w:lang w:val="pt-BR"/>
        </w:rPr>
      </w:r>
    </w:p>
    <w:p>
      <w:pPr>
        <w:pStyle w:val="Heading4"/>
        <w:bidi w:val="0"/>
        <w:spacing w:lineRule="auto" w:line="276" w:before="113" w:after="113"/>
        <w:ind w:left="0" w:right="0"/>
        <w:jc w:val="both"/>
        <w:rPr>
          <w:lang w:val="pt-BR"/>
        </w:rPr>
      </w:pPr>
      <w:r>
        <w:rPr>
          <w:rFonts w:ascii="Verdana" w:hAnsi="Verdana"/>
          <w:color w:val="000000"/>
          <w:sz w:val="20"/>
          <w:szCs w:val="20"/>
          <w:lang w:val="pt-BR"/>
        </w:rPr>
        <w:t xml:space="preserve">13. DEMONSTRATIVO DOS RESULTADOS PRETENDIDOS </w:t>
      </w:r>
    </w:p>
    <w:p>
      <w:pPr>
        <w:pStyle w:val="BodyText"/>
        <w:bidi w:val="0"/>
        <w:spacing w:lineRule="auto" w:line="276" w:before="113" w:after="113"/>
        <w:ind w:left="0" w:right="0"/>
        <w:jc w:val="both"/>
        <w:rPr>
          <w:lang w:val="pt-BR"/>
        </w:rPr>
      </w:pPr>
      <w:r>
        <w:rPr>
          <w:rFonts w:ascii="Verdana" w:hAnsi="Verdana"/>
          <w:color w:val="000000"/>
          <w:sz w:val="20"/>
          <w:szCs w:val="20"/>
          <w:lang w:val="pt-BR"/>
        </w:rPr>
        <w:t>13.1. O REGISTRO DE PREÇOS DE GÊNEROS ALIMENTÍCIOS PARA O ABRIGO LUZ tem como objetivo principal alcançar resultados significativos em termos de economicidade e melhor aproveitamento dos recursos humanos, materiais e financeiros disponíveis. Através deste processo, a instituição busca otimizar os custos relacionados à alimentação dos assistidos, garantindo a qualidade dos produtos adquiridos a preços mais vantajosos.</w:t>
        <w:br/>
        <w:t>13.2. Com a formalização do registro de preços, o Abrigo Luz poderá realizar compras de acordo com a demanda apresentada. Isso permitirá uma economia significativa nos gastos com alimentos, possibilitando a destinação de recursos para outras áreas prioritárias da instituição.</w:t>
        <w:br/>
        <w:t>13.3. Além disso, a utilização eficiente dos recursos disponíveis contribuirá para um melhor aproveitamento dos alimentos, evitando desperdícios e garantindo uma alimentação balanceada e de qualidade para os assistidos. O desenvolvimento sustentável também será promovido, uma vez que a instituição poderá adotar práticas mais sustentáveis na aquisição e no consumo de alimentos, reduzindo o impacto ambiental de suas operações.</w:t>
        <w:br/>
        <w:t>13.4. Dessa forma, o REGISTRO DE PREÇOS DE GÊNEROS ALIMENTÍCIOS PARA O ABRIGO LUZ representa uma estratégia essencial para promover a eficiência, a sustentabilidade e o bem-estar dos beneficiários atendidos pela instituição.</w:t>
      </w:r>
    </w:p>
    <w:p>
      <w:pPr>
        <w:pStyle w:val="BodyText"/>
        <w:bidi w:val="0"/>
        <w:spacing w:lineRule="auto" w:line="276" w:before="113" w:after="113"/>
        <w:ind w:left="0" w:right="0"/>
        <w:jc w:val="both"/>
        <w:rPr>
          <w:rFonts w:ascii="Verdana" w:hAnsi="Verdana"/>
          <w:sz w:val="20"/>
          <w:szCs w:val="20"/>
          <w:lang w:val="pt-BR"/>
        </w:rPr>
      </w:pPr>
      <w:r>
        <w:rPr>
          <w:rFonts w:ascii="Verdana" w:hAnsi="Verdana"/>
          <w:sz w:val="20"/>
          <w:szCs w:val="20"/>
          <w:lang w:val="pt-BR"/>
        </w:rPr>
      </w:r>
    </w:p>
    <w:p>
      <w:pPr>
        <w:pStyle w:val="Normal"/>
        <w:bidi w:val="0"/>
        <w:spacing w:lineRule="auto" w:line="276" w:before="113" w:after="113"/>
        <w:ind w:left="0" w:right="0"/>
        <w:jc w:val="both"/>
        <w:rPr>
          <w:lang w:val="pt-BR"/>
        </w:rPr>
      </w:pPr>
      <w:r>
        <w:rPr>
          <w:rFonts w:ascii="Verdana" w:hAnsi="Verdana"/>
          <w:b/>
          <w:bCs/>
          <w:color w:val="000000"/>
          <w:sz w:val="20"/>
          <w:szCs w:val="20"/>
          <w:lang w:val="pt-BR"/>
        </w:rPr>
        <w:t xml:space="preserve">14. CONTRATAÇÕES CORRELATADAS </w:t>
      </w:r>
    </w:p>
    <w:p>
      <w:pPr>
        <w:pStyle w:val="BodyText"/>
        <w:bidi w:val="0"/>
        <w:spacing w:lineRule="auto" w:line="276" w:before="113" w:after="113"/>
        <w:ind w:left="0" w:right="0"/>
        <w:jc w:val="both"/>
        <w:rPr>
          <w:lang w:val="pt-BR"/>
        </w:rPr>
      </w:pPr>
      <w:r>
        <w:rPr>
          <w:rFonts w:ascii="Verdana" w:hAnsi="Verdana"/>
          <w:color w:val="000000"/>
          <w:sz w:val="20"/>
          <w:szCs w:val="20"/>
          <w:lang w:val="pt-BR"/>
        </w:rPr>
        <w:t xml:space="preserve">14.1. Após uma minuciosa análise, foi investigado minuciosamente se existem contratações atualmente em andamento que possam se correlacionar ou interagir de forma significativa com o planejamento da futura contratação. Foi verificado que o processo 3268/2024 possui o mesmo objeto, porém, não foi obtido êxito na contratação, visto que os item foram tidos como fracassados em quase sua totalidade. </w:t>
      </w:r>
    </w:p>
    <w:p>
      <w:pPr>
        <w:pStyle w:val="BodyText"/>
        <w:bidi w:val="0"/>
        <w:spacing w:lineRule="auto" w:line="276" w:before="113" w:after="113"/>
        <w:ind w:left="0" w:right="0"/>
        <w:jc w:val="both"/>
        <w:rPr>
          <w:lang w:val="pt-BR"/>
        </w:rPr>
      </w:pPr>
      <w:r>
        <w:rPr>
          <w:rFonts w:ascii="Verdana" w:hAnsi="Verdana"/>
          <w:color w:val="000000"/>
          <w:sz w:val="20"/>
          <w:szCs w:val="20"/>
          <w:lang w:val="pt-BR"/>
        </w:rPr>
        <w:t xml:space="preserve">14.2. Os resultados desta análise revelaram que, embora haja algumas contratações em curso, sua interdependência com o planejamento da próxima contratação é mínima. </w:t>
      </w:r>
    </w:p>
    <w:p>
      <w:pPr>
        <w:pStyle w:val="BodyText"/>
        <w:bidi w:val="0"/>
        <w:spacing w:lineRule="auto" w:line="276" w:before="113" w:after="113"/>
        <w:ind w:left="0" w:right="0"/>
        <w:jc w:val="both"/>
        <w:rPr>
          <w:lang w:val="pt-BR"/>
        </w:rPr>
      </w:pPr>
      <w:r>
        <w:rPr>
          <w:rFonts w:ascii="Verdana" w:hAnsi="Verdana"/>
          <w:color w:val="000000"/>
          <w:sz w:val="20"/>
          <w:szCs w:val="20"/>
          <w:lang w:val="pt-BR"/>
        </w:rPr>
        <w:t>14.2. No entanto, foi observada a necessidade de acompanhar de perto determinados aspectos que poderiam tangenciar a nova contratação. Essa atenção extra garantirá a integridade e a eficiência do processo, assegurando que a futura contratação seja realizada de maneira independente e sem comprometer os outros projetos em andamento.</w:t>
      </w:r>
    </w:p>
    <w:p>
      <w:pPr>
        <w:pStyle w:val="BodyText"/>
        <w:bidi w:val="0"/>
        <w:spacing w:lineRule="auto" w:line="276" w:before="113" w:after="113"/>
        <w:ind w:left="0" w:right="0"/>
        <w:jc w:val="both"/>
        <w:rPr>
          <w:rFonts w:ascii="Verdana" w:hAnsi="Verdana"/>
          <w:color w:val="000000"/>
          <w:sz w:val="20"/>
          <w:szCs w:val="20"/>
        </w:rPr>
      </w:pPr>
      <w:r>
        <w:rPr>
          <w:rFonts w:ascii="Verdana" w:hAnsi="Verdana"/>
          <w:color w:val="000000"/>
          <w:sz w:val="20"/>
          <w:szCs w:val="20"/>
        </w:rPr>
      </w:r>
    </w:p>
    <w:p>
      <w:pPr>
        <w:pStyle w:val="Heading4"/>
        <w:bidi w:val="0"/>
        <w:spacing w:lineRule="auto" w:line="276" w:before="113" w:after="113"/>
        <w:ind w:left="0" w:right="0"/>
        <w:jc w:val="both"/>
        <w:rPr>
          <w:lang w:val="pt-BR"/>
        </w:rPr>
      </w:pPr>
      <w:r>
        <w:rPr>
          <w:rFonts w:ascii="Verdana" w:hAnsi="Verdana"/>
          <w:color w:val="000000"/>
          <w:sz w:val="20"/>
          <w:szCs w:val="20"/>
          <w:lang w:val="pt-BR"/>
        </w:rPr>
        <w:t xml:space="preserve">15. IMPACTOS AMBIENTAIS </w:t>
      </w:r>
    </w:p>
    <w:p>
      <w:pPr>
        <w:pStyle w:val="BodyText"/>
        <w:bidi w:val="0"/>
        <w:spacing w:lineRule="auto" w:line="276" w:before="113" w:after="113"/>
        <w:ind w:left="0" w:right="0"/>
        <w:jc w:val="both"/>
        <w:rPr>
          <w:lang w:val="pt-BR"/>
        </w:rPr>
      </w:pPr>
      <w:r>
        <w:rPr>
          <w:rFonts w:ascii="Verdana" w:hAnsi="Verdana"/>
          <w:color w:val="000000"/>
          <w:sz w:val="20"/>
          <w:szCs w:val="20"/>
          <w:lang w:val="pt-BR"/>
        </w:rPr>
        <w:t>15.1. O Registro de Preços de Gêneros Alimentícios para o Abrigo Luz pode gerar impactos ambientais significativos, principalmente relacionados à produção, embalagem, transporte e descarte dos alimentos.</w:t>
      </w:r>
    </w:p>
    <w:p>
      <w:pPr>
        <w:pStyle w:val="BodyText"/>
        <w:bidi w:val="0"/>
        <w:spacing w:lineRule="auto" w:line="276" w:before="113" w:after="113"/>
        <w:ind w:left="0" w:right="0"/>
        <w:jc w:val="both"/>
        <w:rPr>
          <w:lang w:val="pt-BR"/>
        </w:rPr>
      </w:pPr>
      <w:r>
        <w:rPr>
          <w:rFonts w:ascii="Verdana" w:hAnsi="Verdana"/>
          <w:color w:val="000000"/>
          <w:sz w:val="20"/>
          <w:szCs w:val="20"/>
          <w:lang w:val="pt-BR"/>
        </w:rPr>
        <w:t>15.2. Dentre os possíveis impactos ambientais, destacam-se o uso excessivo de recursos naturais, como água e solo, para a produção dos alimentos, a geração de resíduos sólidos e líquidos durante o processamento e embalagem dos alimentos, as emissões de gases de efeito estufa, decorrentes do transporte dos alimentos até o abrigo e o descarte inadequado de embalagens.</w:t>
      </w:r>
    </w:p>
    <w:p>
      <w:pPr>
        <w:pStyle w:val="BodyText"/>
        <w:bidi w:val="0"/>
        <w:spacing w:lineRule="auto" w:line="276" w:before="113" w:after="113"/>
        <w:ind w:left="0" w:right="0"/>
        <w:jc w:val="both"/>
        <w:rPr>
          <w:lang w:val="pt-BR"/>
        </w:rPr>
      </w:pPr>
      <w:r>
        <w:rPr>
          <w:rFonts w:ascii="Verdana" w:hAnsi="Verdana"/>
          <w:color w:val="000000"/>
          <w:sz w:val="20"/>
          <w:szCs w:val="20"/>
          <w:lang w:val="pt-BR"/>
        </w:rPr>
        <w:t>15.3. Para mitigar esses impactos, é importante adotar medidas sustentáveis ao longo de toda a cadeia de produção e distribuição dos alimentos. Isso inclui a escolha de fornecedores que adotem práticas sustentáveis na produção dos alimentos, como o uso de técnicas de agricultura orgânica e a redução do uso de agrotóxicos. Além disso, é fundamental buscar alternativas de embalagens biodegradáveis ou recicláveis, promover a coleta seletiva dos resíduos gerados e adotar práticas de logística sustentável para reduzir as emissões de gases de efeito estufa.</w:t>
      </w:r>
    </w:p>
    <w:p>
      <w:pPr>
        <w:pStyle w:val="BodyText"/>
        <w:bidi w:val="0"/>
        <w:spacing w:lineRule="auto" w:line="276" w:before="113" w:after="113"/>
        <w:ind w:left="0" w:right="0"/>
        <w:jc w:val="both"/>
        <w:rPr>
          <w:lang w:val="pt-BR"/>
        </w:rPr>
      </w:pPr>
      <w:r>
        <w:rPr>
          <w:rFonts w:ascii="Verdana" w:hAnsi="Verdana"/>
          <w:color w:val="000000"/>
          <w:sz w:val="20"/>
          <w:szCs w:val="20"/>
          <w:lang w:val="pt-BR"/>
        </w:rPr>
        <w:t>15.4. Dessa forma, é possível minimizar os impactos ambientais do Registro de Preços de Gêneros Alimentícios para o Abrigo Luz e contribuir para a preservação do meio ambiente.</w:t>
      </w:r>
    </w:p>
    <w:p>
      <w:pPr>
        <w:pStyle w:val="BodyText"/>
        <w:bidi w:val="0"/>
        <w:spacing w:lineRule="auto" w:line="276" w:before="113" w:after="113"/>
        <w:ind w:left="0" w:right="0"/>
        <w:jc w:val="both"/>
        <w:rPr>
          <w:rFonts w:ascii="Verdana" w:hAnsi="Verdana"/>
          <w:color w:val="000000"/>
          <w:sz w:val="20"/>
          <w:szCs w:val="20"/>
        </w:rPr>
      </w:pPr>
      <w:r>
        <w:rPr>
          <w:rFonts w:ascii="Verdana" w:hAnsi="Verdana"/>
          <w:color w:val="000000"/>
          <w:sz w:val="20"/>
          <w:szCs w:val="20"/>
        </w:rPr>
      </w:r>
    </w:p>
    <w:p>
      <w:pPr>
        <w:pStyle w:val="Heading4"/>
        <w:bidi w:val="0"/>
        <w:spacing w:lineRule="auto" w:line="276" w:before="113" w:after="113"/>
        <w:ind w:left="0" w:right="0"/>
        <w:jc w:val="both"/>
        <w:rPr>
          <w:lang w:val="pt-BR"/>
        </w:rPr>
      </w:pPr>
      <w:r>
        <w:rPr>
          <w:rFonts w:ascii="Verdana" w:hAnsi="Verdana"/>
          <w:color w:val="000000"/>
          <w:sz w:val="20"/>
          <w:szCs w:val="20"/>
          <w:lang w:val="pt-BR"/>
        </w:rPr>
        <w:t xml:space="preserve">16. VIABILIDADE DA CONTRATAÇÃO </w:t>
      </w:r>
    </w:p>
    <w:p>
      <w:pPr>
        <w:pStyle w:val="BodyText"/>
        <w:bidi w:val="0"/>
        <w:spacing w:lineRule="auto" w:line="276" w:before="113" w:after="113"/>
        <w:ind w:left="0" w:right="0"/>
        <w:jc w:val="both"/>
        <w:rPr>
          <w:lang w:val="pt-BR"/>
        </w:rPr>
      </w:pPr>
      <w:r>
        <w:rPr>
          <w:rFonts w:ascii="Verdana" w:hAnsi="Verdana"/>
          <w:color w:val="000000"/>
          <w:sz w:val="20"/>
          <w:szCs w:val="20"/>
          <w:lang w:val="pt-BR"/>
        </w:rPr>
        <w:t>16.1. Após uma minuciosa avaliação da viabilidade de contratação, é com satisfação que comunicamos um parecer favorável em relação aos aspectos técnicos, operacionais e orçamentários do projeto proposto. Nossa análise abrangente levou em consideração não apenas a capacidade técnica exigida, mas também a eficiência operacional e a compatibilidade com o orçamento disponível.</w:t>
      </w:r>
    </w:p>
    <w:p>
      <w:pPr>
        <w:pStyle w:val="BodyText"/>
        <w:bidi w:val="0"/>
        <w:spacing w:lineRule="auto" w:line="276" w:before="113" w:after="113"/>
        <w:ind w:left="0" w:right="0"/>
        <w:jc w:val="both"/>
        <w:rPr>
          <w:lang w:val="pt-BR"/>
        </w:rPr>
      </w:pPr>
      <w:r>
        <w:rPr>
          <w:rFonts w:ascii="Verdana" w:hAnsi="Verdana"/>
          <w:color w:val="000000"/>
          <w:sz w:val="20"/>
          <w:szCs w:val="20"/>
          <w:lang w:val="pt-BR"/>
        </w:rPr>
        <w:t>16.2. A avaliação técnica destacou a adequação das habilidades e competências necessárias, evidenciando a capacidade de atender aos requisitos específicos demandados. Além disso, a viabilidade operacional foi confirmada, com a identificação de processos e recursos que se alinham de maneira eficaz à execução do projeto, garantindo sua fluidez e sucesso.</w:t>
      </w:r>
    </w:p>
    <w:p>
      <w:pPr>
        <w:pStyle w:val="BodyText"/>
        <w:bidi w:val="0"/>
        <w:spacing w:lineRule="auto" w:line="276" w:before="113" w:after="113"/>
        <w:ind w:left="0" w:right="0"/>
        <w:jc w:val="both"/>
        <w:rPr>
          <w:lang w:val="pt-BR"/>
        </w:rPr>
      </w:pPr>
      <w:r>
        <w:rPr>
          <w:rFonts w:ascii="Verdana" w:hAnsi="Verdana"/>
          <w:color w:val="000000"/>
          <w:sz w:val="20"/>
          <w:szCs w:val="20"/>
          <w:lang w:val="pt-BR"/>
        </w:rPr>
        <w:t>16.3. Quanto à viabilidade orçamentária, a análise meticulosa revelou uma alocação de recursos que se mostra condizente com as expectativas financeiras estipuladas, assegurando um uso prudente e eficiente dos fundos disponíveis.</w:t>
      </w:r>
    </w:p>
    <w:p>
      <w:pPr>
        <w:pStyle w:val="BodyText"/>
        <w:bidi w:val="0"/>
        <w:spacing w:lineRule="auto" w:line="276" w:before="113" w:after="113"/>
        <w:ind w:left="0" w:right="0"/>
        <w:jc w:val="both"/>
        <w:rPr>
          <w:lang w:val="pt-BR"/>
        </w:rPr>
      </w:pPr>
      <w:r>
        <w:rPr>
          <w:rFonts w:ascii="Verdana" w:hAnsi="Verdana"/>
          <w:color w:val="000000"/>
          <w:sz w:val="20"/>
          <w:szCs w:val="20"/>
          <w:lang w:val="pt-BR"/>
        </w:rPr>
        <w:t>16.4. Destacamos que a contratação proposta não apenas atende, mas também se ajusta precisamente à necessidade identificada, apresentando-se como uma solução integral e coerente com os objetivos traçados.</w:t>
      </w:r>
    </w:p>
    <w:p>
      <w:pPr>
        <w:pStyle w:val="BodyText"/>
        <w:bidi w:val="0"/>
        <w:spacing w:lineRule="auto" w:line="276" w:before="113" w:after="113"/>
        <w:ind w:left="0" w:right="0"/>
        <w:jc w:val="both"/>
        <w:rPr>
          <w:lang w:val="pt-BR"/>
        </w:rPr>
      </w:pPr>
      <w:r>
        <w:rPr>
          <w:rFonts w:ascii="Verdana" w:hAnsi="Verdana"/>
          <w:color w:val="000000"/>
          <w:sz w:val="20"/>
          <w:szCs w:val="20"/>
          <w:lang w:val="pt-BR"/>
        </w:rPr>
        <w:t>16.5. Com base nesta análise abrangente e criteriosa, recomendamos a efetivação da contratação, pois a mesma se mostra viável tecnicamente, operacionalmente e financeiramente, além de estar perfeitamente alinhada à demanda identificada.</w:t>
      </w:r>
    </w:p>
    <w:p>
      <w:pPr>
        <w:pStyle w:val="BodyText"/>
        <w:bidi w:val="0"/>
        <w:spacing w:lineRule="auto" w:line="276" w:before="113" w:after="113"/>
        <w:ind w:left="0" w:right="0"/>
        <w:jc w:val="both"/>
        <w:rPr>
          <w:rFonts w:ascii="Verdana" w:hAnsi="Verdana"/>
          <w:color w:val="000000"/>
          <w:sz w:val="20"/>
          <w:szCs w:val="20"/>
          <w:lang w:val="pt-BR"/>
        </w:rPr>
      </w:pPr>
      <w:r>
        <w:rPr>
          <w:rFonts w:ascii="Verdana" w:hAnsi="Verdana"/>
          <w:color w:val="000000"/>
          <w:sz w:val="20"/>
          <w:szCs w:val="20"/>
          <w:lang w:val="pt-BR"/>
        </w:rPr>
      </w:r>
    </w:p>
    <w:p>
      <w:pPr>
        <w:pStyle w:val="Normal"/>
        <w:spacing w:lineRule="auto" w:line="276" w:before="113" w:after="113"/>
        <w:ind w:hanging="0" w:left="0" w:right="0"/>
        <w:rPr>
          <w:lang w:val="pt-BR"/>
        </w:rPr>
      </w:pPr>
      <w:r>
        <w:rPr>
          <w:rFonts w:cs="Times New Roman" w:ascii="Verdana" w:hAnsi="Verdana"/>
          <w:b/>
          <w:bCs/>
          <w:sz w:val="20"/>
          <w:szCs w:val="20"/>
          <w:lang w:val="pt-BR"/>
        </w:rPr>
        <w:t xml:space="preserve">17. ADEQUAÇÃO ORÇAMENTÁRIA </w:t>
      </w:r>
    </w:p>
    <w:p>
      <w:pPr>
        <w:pStyle w:val="ListParagraph"/>
        <w:spacing w:lineRule="auto" w:line="276" w:before="113" w:after="113"/>
        <w:ind w:hanging="0" w:left="0" w:right="0"/>
        <w:contextualSpacing w:val="false"/>
        <w:jc w:val="both"/>
        <w:rPr>
          <w:lang w:val="pt-BR"/>
        </w:rPr>
      </w:pPr>
      <w:r>
        <w:rPr>
          <w:rFonts w:ascii="Verdana" w:hAnsi="Verdana"/>
          <w:b w:val="false"/>
          <w:bCs w:val="false"/>
          <w:sz w:val="20"/>
          <w:szCs w:val="20"/>
          <w:lang w:val="pt-BR"/>
        </w:rPr>
        <w:t>17.1.</w:t>
      </w:r>
      <w:r>
        <w:rPr>
          <w:rFonts w:ascii="Verdana" w:hAnsi="Verdana"/>
          <w:b/>
          <w:bCs/>
          <w:sz w:val="20"/>
          <w:szCs w:val="20"/>
          <w:lang w:val="pt-BR"/>
        </w:rPr>
        <w:t xml:space="preserve"> </w:t>
      </w:r>
      <w:r>
        <w:rPr>
          <w:rFonts w:ascii="Verdana" w:hAnsi="Verdana"/>
          <w:sz w:val="20"/>
          <w:szCs w:val="20"/>
          <w:lang w:val="pt-BR"/>
        </w:rPr>
        <w:t xml:space="preserve">As despesas decorrentes da presente </w:t>
      </w:r>
      <w:r>
        <w:rPr>
          <w:rFonts w:eastAsia="Times New Roman" w:cs="Times New Roman" w:ascii="Verdana" w:hAnsi="Verdana"/>
          <w:sz w:val="20"/>
          <w:szCs w:val="20"/>
          <w:lang w:val="pt-BR"/>
        </w:rPr>
        <w:t>aquisição</w:t>
      </w:r>
      <w:r>
        <w:rPr>
          <w:rFonts w:ascii="Verdana" w:hAnsi="Verdana"/>
          <w:sz w:val="20"/>
          <w:szCs w:val="20"/>
          <w:lang w:val="pt-BR"/>
        </w:rPr>
        <w:t xml:space="preserve"> correrão à conta de recursos específicos consignados no Lei Orçamentária Anual, bem como requisição do sistema presente nos autos, sendo a </w:t>
      </w:r>
      <w:r>
        <w:rPr>
          <w:rFonts w:eastAsia="Times New Roman" w:cs="Times New Roman" w:ascii="Verdana" w:hAnsi="Verdana"/>
          <w:sz w:val="20"/>
          <w:szCs w:val="20"/>
          <w:lang w:val="pt-BR"/>
        </w:rPr>
        <w:t>aquisição</w:t>
      </w:r>
      <w:r>
        <w:rPr>
          <w:rFonts w:ascii="Verdana" w:hAnsi="Verdana"/>
          <w:sz w:val="20"/>
          <w:szCs w:val="20"/>
          <w:lang w:val="pt-BR"/>
        </w:rPr>
        <w:t xml:space="preserve"> será atendida pela seguinte dotação:</w:t>
      </w:r>
    </w:p>
    <w:p>
      <w:pPr>
        <w:pStyle w:val="ListParagraph"/>
        <w:numPr>
          <w:ilvl w:val="0"/>
          <w:numId w:val="1"/>
        </w:numPr>
        <w:spacing w:lineRule="auto" w:line="276" w:before="113" w:after="113"/>
        <w:ind w:hanging="0" w:left="0" w:right="0"/>
        <w:contextualSpacing w:val="false"/>
        <w:jc w:val="both"/>
        <w:rPr>
          <w:lang w:val="pt-BR"/>
        </w:rPr>
      </w:pPr>
      <w:r>
        <w:rPr>
          <w:rFonts w:cs="Arial" w:ascii="Verdana" w:hAnsi="Verdana"/>
          <w:sz w:val="20"/>
          <w:szCs w:val="20"/>
          <w:lang w:val="pt-BR"/>
        </w:rPr>
        <w:t>FICHA – FON</w:t>
      </w:r>
      <w:r>
        <w:rPr>
          <w:rFonts w:cs="Arial" w:ascii="Verdana" w:hAnsi="Verdana"/>
          <w:sz w:val="20"/>
          <w:szCs w:val="20"/>
          <w:u w:val="none"/>
          <w:lang w:val="pt-BR"/>
        </w:rPr>
        <w:t>TE: 00381</w:t>
      </w:r>
      <w:r>
        <w:rPr>
          <w:rFonts w:eastAsia="Times New Roman" w:cs="Arial" w:ascii="Verdana" w:hAnsi="Verdana"/>
          <w:sz w:val="20"/>
          <w:szCs w:val="20"/>
          <w:u w:val="none"/>
          <w:lang w:val="pt-BR"/>
        </w:rPr>
        <w:t>-</w:t>
      </w:r>
      <w:r>
        <w:rPr>
          <w:rFonts w:cs="Arial" w:ascii="Verdana" w:hAnsi="Verdana"/>
          <w:sz w:val="20"/>
          <w:szCs w:val="20"/>
          <w:u w:val="none"/>
          <w:lang w:val="pt-BR"/>
        </w:rPr>
        <w:t>1</w:t>
      </w:r>
      <w:r>
        <w:rPr>
          <w:rFonts w:eastAsia="Times New Roman" w:cs="Arial" w:ascii="Verdana" w:hAnsi="Verdana"/>
          <w:sz w:val="20"/>
          <w:szCs w:val="20"/>
          <w:u w:val="none"/>
          <w:lang w:val="pt-BR"/>
        </w:rPr>
        <w:t xml:space="preserve">5000000000000 no valor estimado de </w:t>
      </w:r>
      <w:r>
        <w:rPr>
          <w:rFonts w:eastAsia="Times New Roman" w:cs="Arial" w:ascii="Verdana" w:hAnsi="Verdana"/>
          <w:b w:val="false"/>
          <w:bCs w:val="false"/>
          <w:color w:val="000000"/>
          <w:sz w:val="20"/>
          <w:szCs w:val="20"/>
          <w:u w:val="none"/>
          <w:lang w:val="pt-BR" w:eastAsia="zh-CN"/>
        </w:rPr>
        <w:t>R$ 126.411,46 (cento e vinte e seis mil quatrocentos e onze reais e quarenta e seis centavos)</w:t>
      </w:r>
    </w:p>
    <w:p>
      <w:pPr>
        <w:pStyle w:val="ListParagraph"/>
        <w:numPr>
          <w:ilvl w:val="0"/>
          <w:numId w:val="0"/>
        </w:numPr>
        <w:spacing w:lineRule="auto" w:line="276" w:before="113" w:after="113"/>
        <w:ind w:hanging="0" w:left="0" w:right="0"/>
        <w:contextualSpacing w:val="false"/>
        <w:jc w:val="both"/>
        <w:rPr>
          <w:rFonts w:ascii="Verdana" w:hAnsi="Verdana"/>
          <w:sz w:val="20"/>
          <w:szCs w:val="20"/>
          <w:lang w:val="pt-BR"/>
        </w:rPr>
      </w:pPr>
      <w:r>
        <w:rPr>
          <w:rFonts w:ascii="Verdana" w:hAnsi="Verdana"/>
          <w:sz w:val="20"/>
          <w:szCs w:val="20"/>
          <w:lang w:val="pt-BR"/>
        </w:rPr>
      </w:r>
    </w:p>
    <w:p>
      <w:pPr>
        <w:pStyle w:val="Normal"/>
        <w:spacing w:lineRule="auto" w:line="276" w:before="113" w:after="113"/>
        <w:ind w:left="0" w:right="0"/>
        <w:jc w:val="both"/>
        <w:rPr>
          <w:lang w:val="pt-BR"/>
        </w:rPr>
      </w:pPr>
      <w:r>
        <w:rPr>
          <w:rFonts w:cs="Arial" w:ascii="Verdana" w:hAnsi="Verdana"/>
          <w:b/>
          <w:bCs/>
          <w:color w:val="000000"/>
          <w:sz w:val="20"/>
          <w:szCs w:val="20"/>
          <w:lang w:val="pt-BR"/>
        </w:rPr>
        <w:t>18. DOS RESPONSÁVEIS PELA ELABORAÇÃO DO TERMO DE REFERÊNCIA</w:t>
      </w:r>
    </w:p>
    <w:p>
      <w:pPr>
        <w:pStyle w:val="Normal"/>
        <w:spacing w:lineRule="auto" w:line="276" w:before="113" w:after="113"/>
        <w:ind w:left="0" w:right="0"/>
        <w:jc w:val="both"/>
        <w:rPr>
          <w:lang w:val="pt-BR"/>
        </w:rPr>
      </w:pPr>
      <w:r>
        <w:rPr>
          <w:rFonts w:cs="Arial" w:ascii="Verdana" w:hAnsi="Verdana"/>
          <w:b w:val="false"/>
          <w:bCs w:val="false"/>
          <w:color w:val="000000"/>
          <w:sz w:val="20"/>
          <w:szCs w:val="20"/>
          <w:lang w:val="pt-BR"/>
        </w:rPr>
        <w:t>18.1. A compilação d</w:t>
      </w:r>
      <w:r>
        <w:rPr>
          <w:rFonts w:eastAsia="Times New Roman" w:cs="Arial" w:ascii="Verdana" w:hAnsi="Verdana"/>
          <w:b w:val="false"/>
          <w:bCs w:val="false"/>
          <w:color w:val="000000"/>
          <w:sz w:val="20"/>
          <w:szCs w:val="20"/>
          <w:lang w:val="pt-BR"/>
        </w:rPr>
        <w:t>e parte das</w:t>
      </w:r>
      <w:r>
        <w:rPr>
          <w:rFonts w:cs="Arial" w:ascii="Verdana" w:hAnsi="Verdana"/>
          <w:b w:val="false"/>
          <w:bCs w:val="false"/>
          <w:color w:val="000000"/>
          <w:sz w:val="20"/>
          <w:szCs w:val="20"/>
          <w:lang w:val="pt-BR"/>
        </w:rPr>
        <w:t xml:space="preserve"> informações mencionados </w:t>
      </w:r>
      <w:r>
        <w:rPr>
          <w:rFonts w:eastAsia="Times New Roman" w:cs="Arial" w:ascii="Verdana" w:hAnsi="Verdana"/>
          <w:b w:val="false"/>
          <w:bCs w:val="false"/>
          <w:color w:val="000000"/>
          <w:sz w:val="20"/>
          <w:szCs w:val="20"/>
          <w:lang w:val="pt-BR"/>
        </w:rPr>
        <w:t>na</w:t>
      </w:r>
      <w:r>
        <w:rPr>
          <w:rFonts w:cs="Arial" w:ascii="Verdana" w:hAnsi="Verdana"/>
          <w:b w:val="false"/>
          <w:bCs w:val="false"/>
          <w:color w:val="000000"/>
          <w:sz w:val="20"/>
          <w:szCs w:val="20"/>
          <w:lang w:val="pt-BR"/>
        </w:rPr>
        <w:t xml:space="preserve"> elaboração deste Termo de Referência foram estruturadas através do ETP – Estudo Técnico Preliminar elaborado pela secretaria requisitante.</w:t>
      </w:r>
    </w:p>
    <w:p>
      <w:pPr>
        <w:pStyle w:val="Normal"/>
        <w:spacing w:lineRule="auto" w:line="276" w:before="113" w:after="113"/>
        <w:ind w:left="0" w:right="0"/>
        <w:jc w:val="right"/>
        <w:rPr>
          <w:lang w:val="pt-BR"/>
        </w:rPr>
      </w:pPr>
      <w:r>
        <w:rPr>
          <w:rFonts w:ascii="Verdana" w:hAnsi="Verdana"/>
          <w:sz w:val="20"/>
          <w:szCs w:val="20"/>
          <w:lang w:val="pt-BR"/>
        </w:rPr>
        <w:t>São Gabriel da Palha, 02 de outubro de 2024</w:t>
      </w:r>
    </w:p>
    <w:p>
      <w:pPr>
        <w:pStyle w:val="Normal"/>
        <w:spacing w:lineRule="auto" w:line="276" w:before="113" w:after="113"/>
        <w:ind w:left="0" w:right="0"/>
        <w:jc w:val="right"/>
        <w:rPr>
          <w:rFonts w:ascii="Verdana" w:hAnsi="Verdana"/>
          <w:sz w:val="20"/>
          <w:szCs w:val="20"/>
          <w:lang w:val="pt-BR"/>
        </w:rPr>
      </w:pPr>
      <w:r>
        <w:rPr>
          <w:rFonts w:ascii="Verdana" w:hAnsi="Verdana"/>
          <w:sz w:val="20"/>
          <w:szCs w:val="20"/>
          <w:lang w:val="pt-BR"/>
        </w:rPr>
      </w:r>
    </w:p>
    <w:p>
      <w:pPr>
        <w:pStyle w:val="Normal"/>
        <w:spacing w:lineRule="auto" w:line="276" w:before="113" w:after="113"/>
        <w:ind w:left="0" w:right="0"/>
        <w:jc w:val="both"/>
        <w:rPr>
          <w:lang w:val="pt-BR"/>
        </w:rPr>
      </w:pPr>
      <w:r>
        <w:rPr>
          <w:rFonts w:cs="Arial" w:ascii="Verdana" w:hAnsi="Verdana"/>
          <w:b/>
          <w:bCs/>
          <w:sz w:val="20"/>
          <w:szCs w:val="20"/>
          <w:lang w:val="pt-BR"/>
        </w:rPr>
        <w:t>Elaborado por:</w:t>
      </w:r>
    </w:p>
    <w:p>
      <w:pPr>
        <w:pStyle w:val="Normal"/>
        <w:spacing w:lineRule="auto" w:line="276" w:before="113" w:after="113"/>
        <w:ind w:left="0" w:right="0"/>
        <w:jc w:val="both"/>
        <w:rPr>
          <w:rFonts w:ascii="Verdana" w:hAnsi="Verdana" w:cs="Arial"/>
          <w:b/>
          <w:bCs/>
          <w:color w:val="000000"/>
          <w:sz w:val="20"/>
          <w:szCs w:val="20"/>
          <w:lang w:val="pt-BR"/>
        </w:rPr>
      </w:pPr>
      <w:r>
        <w:rPr>
          <w:rFonts w:cs="Arial" w:ascii="Verdana" w:hAnsi="Verdana"/>
          <w:b/>
          <w:bCs/>
          <w:color w:val="000000"/>
          <w:sz w:val="20"/>
          <w:szCs w:val="20"/>
          <w:lang w:val="pt-BR"/>
        </w:rPr>
      </w:r>
    </w:p>
    <w:p>
      <w:pPr>
        <w:pStyle w:val="Normal"/>
        <w:spacing w:lineRule="auto" w:line="276" w:before="113" w:after="113"/>
        <w:ind w:left="0" w:right="0"/>
        <w:jc w:val="both"/>
        <w:rPr>
          <w:rFonts w:ascii="Verdana" w:hAnsi="Verdana" w:cs="Arial"/>
          <w:b/>
          <w:bCs/>
          <w:color w:val="000000"/>
          <w:sz w:val="20"/>
          <w:szCs w:val="20"/>
          <w:lang w:val="pt-BR"/>
        </w:rPr>
      </w:pPr>
      <w:r>
        <w:rPr>
          <w:rFonts w:cs="Arial" w:ascii="Verdana" w:hAnsi="Verdana"/>
          <w:b/>
          <w:bCs/>
          <w:color w:val="000000"/>
          <w:sz w:val="20"/>
          <w:szCs w:val="20"/>
          <w:lang w:val="pt-BR"/>
        </w:rPr>
      </w:r>
    </w:p>
    <w:p>
      <w:pPr>
        <w:sectPr>
          <w:headerReference w:type="even" r:id="rId8"/>
          <w:headerReference w:type="default" r:id="rId9"/>
          <w:headerReference w:type="first" r:id="rId10"/>
          <w:footerReference w:type="even" r:id="rId11"/>
          <w:footerReference w:type="default" r:id="rId12"/>
          <w:footerReference w:type="first" r:id="rId13"/>
          <w:type w:val="nextPage"/>
          <w:pgSz w:w="11906" w:h="16838"/>
          <w:pgMar w:left="1550" w:right="905" w:gutter="0" w:header="227" w:top="851" w:footer="414" w:bottom="803"/>
          <w:pgNumType w:fmt="decimal"/>
          <w:formProt w:val="false"/>
          <w:textDirection w:val="lrTb"/>
          <w:docGrid w:type="default" w:linePitch="326" w:charSpace="0"/>
        </w:sectPr>
      </w:pPr>
    </w:p>
    <w:p>
      <w:pPr>
        <w:pStyle w:val="Normal"/>
        <w:spacing w:lineRule="auto" w:line="276" w:before="0" w:after="0"/>
        <w:ind w:left="0" w:right="0"/>
        <w:jc w:val="both"/>
        <w:rPr>
          <w:lang w:val="pt-BR"/>
        </w:rPr>
      </w:pPr>
      <w:r>
        <w:rPr>
          <w:rFonts w:ascii="Verdana" w:hAnsi="Verdana"/>
          <w:b w:val="false"/>
          <w:bCs w:val="false"/>
          <w:sz w:val="20"/>
          <w:szCs w:val="20"/>
          <w:lang w:val="pt-BR"/>
        </w:rPr>
        <w:t>RODOLFO ANTÔNIO DA SILVA NETO</w:t>
      </w:r>
    </w:p>
    <w:p>
      <w:pPr>
        <w:pStyle w:val="Normal"/>
        <w:spacing w:lineRule="auto" w:line="276" w:before="0" w:after="0"/>
        <w:ind w:left="0" w:right="0"/>
        <w:jc w:val="both"/>
        <w:rPr>
          <w:lang w:val="pt-BR"/>
        </w:rPr>
      </w:pPr>
      <w:r>
        <w:rPr>
          <w:rFonts w:ascii="Verdana" w:hAnsi="Verdana"/>
          <w:b w:val="false"/>
          <w:bCs w:val="false"/>
          <w:sz w:val="20"/>
          <w:szCs w:val="20"/>
          <w:lang w:val="pt-BR"/>
        </w:rPr>
        <w:t>Auxiliar Administrativo</w:t>
      </w:r>
    </w:p>
    <w:p>
      <w:pPr>
        <w:pStyle w:val="Normal"/>
        <w:spacing w:lineRule="auto" w:line="276" w:before="0" w:after="0"/>
        <w:ind w:left="0" w:right="0"/>
        <w:jc w:val="both"/>
        <w:rPr>
          <w:lang w:val="pt-BR"/>
        </w:rPr>
      </w:pPr>
      <w:r>
        <w:rPr>
          <w:rFonts w:ascii="Verdana" w:hAnsi="Verdana"/>
          <w:b w:val="false"/>
          <w:bCs w:val="false"/>
          <w:sz w:val="20"/>
          <w:szCs w:val="20"/>
          <w:lang w:val="pt-BR"/>
        </w:rPr>
        <w:t>Mat. nº 000406</w:t>
      </w:r>
    </w:p>
    <w:p>
      <w:pPr>
        <w:pStyle w:val="Normal"/>
        <w:spacing w:lineRule="auto" w:line="276" w:before="0" w:after="0"/>
        <w:ind w:left="0" w:right="0"/>
        <w:jc w:val="both"/>
        <w:rPr>
          <w:rFonts w:ascii="Verdana" w:hAnsi="Verdana"/>
          <w:b w:val="false"/>
          <w:bCs w:val="false"/>
          <w:sz w:val="20"/>
          <w:szCs w:val="20"/>
          <w:lang w:val="pt-BR"/>
        </w:rPr>
      </w:pPr>
      <w:r>
        <w:rPr>
          <w:rFonts w:ascii="Verdana" w:hAnsi="Verdana"/>
          <w:b w:val="false"/>
          <w:bCs w:val="false"/>
          <w:sz w:val="20"/>
          <w:szCs w:val="20"/>
          <w:lang w:val="pt-BR"/>
        </w:rPr>
      </w:r>
    </w:p>
    <w:p>
      <w:pPr>
        <w:pStyle w:val="Normal"/>
        <w:spacing w:lineRule="auto" w:line="276" w:before="0" w:after="0"/>
        <w:ind w:left="0" w:right="0"/>
        <w:jc w:val="both"/>
        <w:rPr>
          <w:lang w:val="pt-BR"/>
        </w:rPr>
      </w:pPr>
      <w:r>
        <w:rPr>
          <w:rFonts w:cs="Arial" w:ascii="Verdana" w:hAnsi="Verdana"/>
          <w:sz w:val="20"/>
          <w:szCs w:val="20"/>
          <w:lang w:val="pt-BR"/>
        </w:rPr>
        <w:t>RUTH BARBARA DA SILWA NASCIMENTO</w:t>
      </w:r>
    </w:p>
    <w:p>
      <w:pPr>
        <w:pStyle w:val="Normal"/>
        <w:spacing w:lineRule="auto" w:line="276" w:before="0" w:after="0"/>
        <w:ind w:left="0" w:right="0"/>
        <w:jc w:val="both"/>
        <w:rPr>
          <w:lang w:val="pt-BR"/>
        </w:rPr>
      </w:pPr>
      <w:r>
        <w:rPr>
          <w:rFonts w:cs="Arial" w:ascii="Verdana" w:hAnsi="Verdana"/>
          <w:sz w:val="20"/>
          <w:szCs w:val="20"/>
          <w:lang w:val="pt-BR"/>
        </w:rPr>
        <w:t>Assistente Administrativo</w:t>
      </w:r>
    </w:p>
    <w:p>
      <w:pPr>
        <w:pStyle w:val="Normal"/>
        <w:numPr>
          <w:ilvl w:val="0"/>
          <w:numId w:val="0"/>
        </w:numPr>
        <w:tabs>
          <w:tab w:val="clear" w:pos="708"/>
          <w:tab w:val="left" w:pos="300" w:leader="none"/>
        </w:tabs>
        <w:suppressAutoHyphens w:val="false"/>
        <w:spacing w:lineRule="auto" w:line="276" w:before="0" w:after="0"/>
        <w:ind w:hanging="0" w:left="0" w:right="0"/>
        <w:jc w:val="both"/>
        <w:rPr/>
      </w:pPr>
      <w:hyperlink r:id="rId14">
        <w:bookmarkStart w:id="7" w:name="page68R_mcid7"/>
        <w:bookmarkStart w:id="8" w:name="_GoBack111"/>
        <w:bookmarkStart w:id="9" w:name="page66R_mcid16"/>
        <w:bookmarkStart w:id="10" w:name="page66R_mcid15"/>
        <w:r>
          <w:rPr>
            <w:rStyle w:val="ListLabel43"/>
            <w:rFonts w:eastAsia="Times New Roman" w:cs="Arial" w:ascii="Verdana" w:hAnsi="Verdana"/>
            <w:sz w:val="20"/>
            <w:szCs w:val="20"/>
            <w:lang w:val="pt-BR"/>
          </w:rPr>
          <w:t>Mat. nº 002983</w:t>
        </w:r>
      </w:hyperlink>
      <w:bookmarkEnd w:id="0"/>
      <w:bookmarkEnd w:id="1"/>
      <w:bookmarkEnd w:id="2"/>
      <w:bookmarkEnd w:id="3"/>
      <w:bookmarkEnd w:id="6"/>
      <w:bookmarkEnd w:id="7"/>
      <w:bookmarkEnd w:id="8"/>
      <w:bookmarkEnd w:id="9"/>
      <w:bookmarkEnd w:id="10"/>
    </w:p>
    <w:p>
      <w:pPr>
        <w:sectPr>
          <w:type w:val="continuous"/>
          <w:pgSz w:w="11906" w:h="16838"/>
          <w:pgMar w:left="1550" w:right="905" w:gutter="0" w:header="227" w:top="851" w:footer="414" w:bottom="803"/>
          <w:cols w:num="2" w:space="282" w:equalWidth="true" w:sep="false"/>
          <w:formProt w:val="false"/>
          <w:textDirection w:val="lrTb"/>
          <w:docGrid w:type="default" w:linePitch="326" w:charSpace="0"/>
        </w:sectPr>
      </w:pPr>
    </w:p>
    <w:p>
      <w:pPr>
        <w:pStyle w:val="Normal"/>
        <w:rPr/>
      </w:pPr>
      <w:r>
        <w:rPr/>
      </w:r>
    </w:p>
    <w:sectPr>
      <w:type w:val="continuous"/>
      <w:pgSz w:w="11906" w:h="16838"/>
      <w:pgMar w:left="1550" w:right="905" w:gutter="0" w:header="227" w:top="851" w:footer="414" w:bottom="803"/>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Liberation Serif">
    <w:altName w:val="Times New Roman"/>
    <w:charset w:val="00"/>
    <w:family w:val="swiss"/>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Verdana">
    <w:charset w:val="00"/>
    <w:family w:val="roman"/>
    <w:pitch w:val="variable"/>
  </w:font>
  <w:font w:name="Arial Narrow">
    <w:charset w:val="00"/>
    <w:family w:val="roman"/>
    <w:pitch w:val="variable"/>
  </w:font>
  <w:font w:name="Tahoma">
    <w:charset w:val="00"/>
    <w:family w:val="roman"/>
    <w:pitch w:val="variable"/>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spacing w:lineRule="auto" w:line="240"/>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spacing w:lineRule="auto" w:line="240"/>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2">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2">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e18ec"/>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uiPriority w:val="9"/>
    <w:qFormat/>
    <w:rsid w:val="00537254"/>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paragraph" w:styleId="Heading4">
    <w:name w:val="Heading 4"/>
    <w:basedOn w:val="Ttulo"/>
    <w:next w:val="BodyText"/>
    <w:qFormat/>
    <w:pPr>
      <w:spacing w:before="120" w:after="120"/>
      <w:outlineLvl w:val="3"/>
    </w:pPr>
    <w:rPr>
      <w:rFonts w:ascii="Liberation Serif" w:hAnsi="Liberation Serif" w:eastAsia="NSimSun" w:cs="Lucida Sans"/>
      <w:b/>
      <w:bCs/>
      <w:sz w:val="24"/>
      <w:szCs w:val="24"/>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2e18ec"/>
    <w:rPr/>
  </w:style>
  <w:style w:type="character" w:styleId="CabealhoChar" w:customStyle="1">
    <w:name w:val="Cabeçalho Char"/>
    <w:basedOn w:val="DefaultParagraphFont"/>
    <w:qFormat/>
    <w:rsid w:val="002e18ec"/>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sid w:val="002e18ec"/>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InternetLink" w:customStyle="1">
    <w:name w:val="Internet Link"/>
    <w:qFormat/>
    <w:rPr>
      <w:color w:val="000080"/>
      <w:u w:val="single"/>
    </w:rPr>
  </w:style>
  <w:style w:type="character" w:styleId="CorpodetextoChar" w:customStyle="1">
    <w:name w:val="Corpo de texto Char"/>
    <w:basedOn w:val="DefaultParagraphFont"/>
    <w:qFormat/>
    <w:rsid w:val="004568f3"/>
    <w:rPr>
      <w:rFonts w:ascii="Times New Roman" w:hAnsi="Times New Roman" w:eastAsia="Times New Roman" w:cs="Times New Roman"/>
      <w:sz w:val="24"/>
      <w:szCs w:val="20"/>
      <w:lang w:eastAsia="pt-BR"/>
    </w:rPr>
  </w:style>
  <w:style w:type="character" w:styleId="CitaoChar" w:customStyle="1">
    <w:name w:val="Citação Char"/>
    <w:basedOn w:val="DefaultParagraphFont"/>
    <w:qFormat/>
    <w:rsid w:val="00537254"/>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53725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537254"/>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uiPriority w:val="9"/>
    <w:qFormat/>
    <w:rsid w:val="00537254"/>
    <w:rPr>
      <w:rFonts w:ascii="Cambria" w:hAnsi="Cambria" w:eastAsia="" w:cs="" w:asciiTheme="majorHAnsi" w:cstheme="majorBidi" w:eastAsiaTheme="majorEastAsia" w:hAnsiTheme="majorHAnsi"/>
      <w:b/>
      <w:bCs/>
      <w:color w:themeColor="accent1" w:themeShade="bf" w:val="365F91"/>
      <w:sz w:val="28"/>
      <w:szCs w:val="28"/>
      <w:lang w:eastAsia="pt-BR"/>
    </w:rPr>
  </w:style>
  <w:style w:type="character" w:styleId="Marcadores">
    <w:name w:val="Marcadores"/>
    <w:qFormat/>
    <w:rPr>
      <w:rFonts w:ascii="OpenSymbol" w:hAnsi="OpenSymbol" w:eastAsia="OpenSymbol" w:cs="OpenSymbol"/>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Header">
    <w:name w:val="Header"/>
    <w:basedOn w:val="Normal"/>
    <w:link w:val="CabealhoChar"/>
    <w:rsid w:val="002e18ec"/>
    <w:pPr>
      <w:tabs>
        <w:tab w:val="clear" w:pos="708"/>
        <w:tab w:val="center" w:pos="4419" w:leader="none"/>
        <w:tab w:val="right" w:pos="8838" w:leader="none"/>
      </w:tabs>
    </w:pPr>
    <w:rPr/>
  </w:style>
  <w:style w:type="paragraph" w:styleId="Footer">
    <w:name w:val="Footer"/>
    <w:basedOn w:val="Normal"/>
    <w:link w:val="RodapChar"/>
    <w:rsid w:val="002e18ec"/>
    <w:pPr>
      <w:tabs>
        <w:tab w:val="clear" w:pos="708"/>
        <w:tab w:val="center" w:pos="4419" w:leader="none"/>
        <w:tab w:val="right" w:pos="8838" w:leader="none"/>
      </w:tabs>
    </w:pPr>
    <w:rPr/>
  </w:style>
  <w:style w:type="paragraph" w:styleId="ListParagraph">
    <w:name w:val="List Paragraph"/>
    <w:basedOn w:val="Normal"/>
    <w:uiPriority w:val="34"/>
    <w:qFormat/>
    <w:rsid w:val="007a2726"/>
    <w:pPr>
      <w:spacing w:before="0" w:after="0"/>
      <w:ind w:hanging="0" w:left="720"/>
      <w:contextualSpacing/>
    </w:pPr>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Heading1"/>
    <w:next w:val="Normal"/>
    <w:link w:val="Nivel1Char"/>
    <w:qFormat/>
    <w:rsid w:val="00537254"/>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customStyle="1">
    <w:name w:val="Standard"/>
    <w:qFormat/>
    <w:rsid w:val="00537254"/>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customStyle="1">
    <w:name w:val="citação 2"/>
    <w:basedOn w:val="Quote"/>
    <w:qFormat/>
    <w:rsid w:val="00537254"/>
    <w:pPr>
      <w:suppressAutoHyphens w:val="true"/>
    </w:pPr>
    <w:rPr>
      <w:kern w:val="2"/>
      <w:szCs w:val="20"/>
      <w:lang w:eastAsia="zh-CN" w:bidi="hi-IN"/>
    </w:rPr>
  </w:style>
  <w:style w:type="paragraph" w:styleId="Nivel2" w:customStyle="1">
    <w:name w:val="Nivel 2"/>
    <w:basedOn w:val="Normal"/>
    <w:link w:val="Nivel2Char"/>
    <w:qFormat/>
    <w:rsid w:val="00537254"/>
    <w:pPr>
      <w:suppressAutoHyphens w:val="false"/>
      <w:spacing w:lineRule="auto" w:line="276" w:before="120" w:after="120"/>
      <w:jc w:val="both"/>
    </w:pPr>
    <w:rPr>
      <w:rFonts w:ascii="Arial" w:hAnsi="Arial" w:eastAsia="Calibri" w:cs="Arial" w:eastAsiaTheme="minorHAnsi"/>
      <w:color w:val="000000"/>
      <w:sz w:val="22"/>
      <w:szCs w:val="22"/>
      <w:lang w:eastAsia="en-US"/>
    </w:rPr>
  </w:style>
  <w:style w:type="paragraph" w:styleId="Nivel3" w:customStyle="1">
    <w:name w:val="Nivel 3"/>
    <w:basedOn w:val="ListParagraph"/>
    <w:qFormat/>
    <w:rsid w:val="00537254"/>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suppressLineNumbers/>
    </w:pPr>
    <w:rPr/>
  </w:style>
  <w:style w:type="paragraph" w:styleId="Nivel0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Contedodoquadro">
    <w:name w:val="Conteúdo do quadro"/>
    <w:basedOn w:val="Normal"/>
    <w:qFormat/>
    <w:pPr/>
    <w:rPr/>
  </w:style>
  <w:style w:type="paragraph" w:styleId="Ttulodetabela">
    <w:name w:val="Título de tabela"/>
    <w:basedOn w:val="Contedodatabela"/>
    <w:qFormat/>
    <w:pPr>
      <w:suppressLineNumbers/>
      <w:jc w:val="center"/>
    </w:pPr>
    <w:rPr>
      <w:b/>
      <w:bCs/>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372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hyperlink" Target="https://www.planalto.gov.br/ccivil_03/leis/lcp/lcp123.htm" TargetMode="Externa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904</TotalTime>
  <Application>LibreOffice/24.2.6.2$Windows_X86_64 LibreOffice_project/ef66aa7e36a1bb8e65bfbc63aba53045a14d0871</Application>
  <AppVersion>15.0000</AppVersion>
  <Pages>21</Pages>
  <Words>7489</Words>
  <Characters>41805</Characters>
  <CharactersWithSpaces>48668</CharactersWithSpaces>
  <Paragraphs>676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2024-11-22T09:41:16Z</cp:lastPrinted>
  <dcterms:modified xsi:type="dcterms:W3CDTF">2024-11-22T09:41:25Z</dcterms:modified>
  <cp:revision>161</cp:revision>
  <dc:subject/>
  <dc:title/>
</cp:coreProperties>
</file>

<file path=docProps/custom.xml><?xml version="1.0" encoding="utf-8"?>
<Properties xmlns="http://schemas.openxmlformats.org/officeDocument/2006/custom-properties" xmlns:vt="http://schemas.openxmlformats.org/officeDocument/2006/docPropsVTypes"/>
</file>